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D680E" w14:textId="3F71D7A9" w:rsidR="00E95B5A" w:rsidRDefault="00F74AA5">
      <w:pPr>
        <w:jc w:val="center"/>
      </w:pPr>
      <w:r>
        <w:rPr>
          <w:b/>
          <w:color w:val="1F4E79"/>
          <w:sz w:val="48"/>
        </w:rPr>
        <w:t xml:space="preserve">IRB </w:t>
      </w:r>
      <w:r w:rsidR="00FB24B5">
        <w:rPr>
          <w:b/>
          <w:color w:val="1F4E79"/>
          <w:sz w:val="48"/>
        </w:rPr>
        <w:t>Guidance</w:t>
      </w:r>
    </w:p>
    <w:p w14:paraId="421DE27D" w14:textId="77777777" w:rsidR="00E95B5A" w:rsidRDefault="00FB24B5">
      <w:pPr>
        <w:jc w:val="center"/>
      </w:pPr>
      <w:r>
        <w:rPr>
          <w:b/>
          <w:sz w:val="30"/>
        </w:rPr>
        <w:t>Human Subjects Research Involving Artificial Intelligence: General Wellness Products, Medical Devices, and Software as a Medical Device (SaMD)</w:t>
      </w:r>
    </w:p>
    <w:p w14:paraId="0F86A390" w14:textId="77777777" w:rsidR="00E95B5A" w:rsidRDefault="00FB24B5">
      <w:pPr>
        <w:jc w:val="center"/>
      </w:pPr>
      <w:r>
        <w:rPr>
          <w:i/>
          <w:sz w:val="19"/>
        </w:rPr>
        <w:t>For investigators planning IRB submissions involving AI-enabled applications, chatbots, algorithms, digital health tools, or software</w:t>
      </w:r>
    </w:p>
    <w:tbl>
      <w:tblPr>
        <w:tblW w:w="0" w:type="auto"/>
        <w:jc w:val="center"/>
        <w:tblLook w:val="04A0" w:firstRow="1" w:lastRow="0" w:firstColumn="1" w:lastColumn="0" w:noHBand="0" w:noVBand="1"/>
      </w:tblPr>
      <w:tblGrid>
        <w:gridCol w:w="10080"/>
      </w:tblGrid>
      <w:tr w:rsidR="00E95B5A" w14:paraId="43CDDF2E" w14:textId="77777777">
        <w:trPr>
          <w:jc w:val="center"/>
        </w:trPr>
        <w:tc>
          <w:tcPr>
            <w:tcW w:w="10080" w:type="dxa"/>
            <w:shd w:val="clear" w:color="auto" w:fill="EAF2F8"/>
          </w:tcPr>
          <w:p w14:paraId="3B3D9019" w14:textId="77777777" w:rsidR="00E95B5A" w:rsidRDefault="00FB24B5">
            <w:r>
              <w:rPr>
                <w:b/>
                <w:color w:val="1F4E79"/>
              </w:rPr>
              <w:t>Purpose of this guidance</w:t>
            </w:r>
            <w:r>
              <w:rPr>
                <w:b/>
                <w:color w:val="1F4E79"/>
              </w:rPr>
              <w:br/>
            </w:r>
            <w:r>
              <w:t>This document helps researchers identify and describe the regulatory and human-subject-protection issues that may arise when an AI-enabled tool is used in research. It is intended to support IRB preparation and does not replace an FDA determination, legal advice, institutional policy, or sponsor responsibilities under applicable FDA regulations.</w:t>
            </w:r>
          </w:p>
        </w:tc>
      </w:tr>
    </w:tbl>
    <w:p w14:paraId="7BC8E462" w14:textId="77777777" w:rsidR="00E95B5A" w:rsidRDefault="00FB24B5">
      <w:pPr>
        <w:pStyle w:val="Heading1"/>
      </w:pPr>
      <w:r>
        <w:t>1. Why AI Studies Require Additional IRB Detail</w:t>
      </w:r>
    </w:p>
    <w:p w14:paraId="64EE6DD9" w14:textId="77777777" w:rsidR="00E95B5A" w:rsidRDefault="00FB24B5">
      <w:r>
        <w:t>The use of artificial intelligence does not, by itself, make a product a medical device. The key questions are what the product is intended to do, what claims are made about it, how participants or clinicians will use its output, and what could happen if the output is incorrect, incomplete, biased, or unavailable. An AI-enabled tool may be:</w:t>
      </w:r>
    </w:p>
    <w:p w14:paraId="29F90D8D" w14:textId="77777777" w:rsidR="00E95B5A" w:rsidRDefault="00FB24B5">
      <w:pPr>
        <w:pStyle w:val="ListBullet"/>
        <w:spacing w:after="40"/>
      </w:pPr>
      <w:r>
        <w:t>a non-device software function or a low-risk general wellness product;</w:t>
      </w:r>
    </w:p>
    <w:p w14:paraId="5289AD64" w14:textId="77777777" w:rsidR="00E95B5A" w:rsidRDefault="00FB24B5">
      <w:pPr>
        <w:pStyle w:val="ListBullet"/>
        <w:spacing w:after="40"/>
      </w:pPr>
      <w:r>
        <w:t>a device software function that meets the federal definition of a medical device;</w:t>
      </w:r>
    </w:p>
    <w:p w14:paraId="06CDC700" w14:textId="77777777" w:rsidR="00E95B5A" w:rsidRDefault="00FB24B5">
      <w:pPr>
        <w:pStyle w:val="ListBullet"/>
        <w:spacing w:after="40"/>
      </w:pPr>
      <w:r>
        <w:t>Software as a Medical Device (SaMD), meaning software that performs a medical purpose without being part of a hardware medical device;</w:t>
      </w:r>
    </w:p>
    <w:p w14:paraId="1F57ED2B" w14:textId="77777777" w:rsidR="00E95B5A" w:rsidRDefault="00FB24B5">
      <w:pPr>
        <w:pStyle w:val="ListBullet"/>
        <w:spacing w:after="40"/>
      </w:pPr>
      <w:r>
        <w:t>software that is part of or controls a hardware medical device; or</w:t>
      </w:r>
    </w:p>
    <w:p w14:paraId="0B325DDF" w14:textId="77777777" w:rsidR="00E95B5A" w:rsidRDefault="00FB24B5">
      <w:pPr>
        <w:pStyle w:val="ListBullet"/>
        <w:spacing w:after="40"/>
      </w:pPr>
      <w:r>
        <w:t>a device function for which FDA may exercise enforcement discretion, depending on the function and risk.</w:t>
      </w:r>
    </w:p>
    <w:p w14:paraId="2647DFEC" w14:textId="77777777" w:rsidR="00E95B5A" w:rsidRDefault="00FB24B5">
      <w:r>
        <w:t>The IRB must evaluate the study as actually designed. Describing an AI tool as “wellness,” “educational,” “research only,” or “not for clinical use” is not sufficient if the protocol, interface, study endpoints, recruitment materials, or investigator instructions show that the tool is being evaluated for diagnosis, treatment, monitoring, prediction, mitigation, or clinical decision-making.</w:t>
      </w:r>
    </w:p>
    <w:p w14:paraId="2E662525" w14:textId="77777777" w:rsidR="00E95B5A" w:rsidRDefault="00FB24B5">
      <w:pPr>
        <w:pStyle w:val="Heading1"/>
      </w:pPr>
      <w:r>
        <w:t>2. Key Terms</w:t>
      </w:r>
    </w:p>
    <w:tbl>
      <w:tblPr>
        <w:tblStyle w:val="TableGrid"/>
        <w:tblW w:w="0" w:type="auto"/>
        <w:jc w:val="center"/>
        <w:tblLook w:val="04A0" w:firstRow="1" w:lastRow="0" w:firstColumn="1" w:lastColumn="0" w:noHBand="0" w:noVBand="1"/>
      </w:tblPr>
      <w:tblGrid>
        <w:gridCol w:w="3357"/>
        <w:gridCol w:w="3356"/>
        <w:gridCol w:w="3357"/>
      </w:tblGrid>
      <w:tr w:rsidR="00E95B5A" w14:paraId="1F8AAA2E" w14:textId="77777777">
        <w:trPr>
          <w:jc w:val="center"/>
        </w:trPr>
        <w:tc>
          <w:tcPr>
            <w:tcW w:w="3360" w:type="dxa"/>
            <w:shd w:val="clear" w:color="auto" w:fill="1F4E79"/>
            <w:vAlign w:val="center"/>
          </w:tcPr>
          <w:p w14:paraId="1FABD010" w14:textId="77777777" w:rsidR="00E95B5A" w:rsidRDefault="00FB24B5">
            <w:r>
              <w:rPr>
                <w:b/>
                <w:color w:val="FFFFFF"/>
                <w:sz w:val="18"/>
              </w:rPr>
              <w:t>Term</w:t>
            </w:r>
          </w:p>
        </w:tc>
        <w:tc>
          <w:tcPr>
            <w:tcW w:w="3360" w:type="dxa"/>
            <w:shd w:val="clear" w:color="auto" w:fill="1F4E79"/>
            <w:vAlign w:val="center"/>
          </w:tcPr>
          <w:p w14:paraId="1D59C491" w14:textId="77777777" w:rsidR="00E95B5A" w:rsidRDefault="00FB24B5">
            <w:r>
              <w:rPr>
                <w:b/>
                <w:color w:val="FFFFFF"/>
                <w:sz w:val="18"/>
              </w:rPr>
              <w:t>Working description for researchers</w:t>
            </w:r>
          </w:p>
        </w:tc>
        <w:tc>
          <w:tcPr>
            <w:tcW w:w="3360" w:type="dxa"/>
            <w:shd w:val="clear" w:color="auto" w:fill="1F4E79"/>
            <w:vAlign w:val="center"/>
          </w:tcPr>
          <w:p w14:paraId="17D69E7C" w14:textId="77777777" w:rsidR="00E95B5A" w:rsidRDefault="00FB24B5">
            <w:r>
              <w:rPr>
                <w:b/>
                <w:color w:val="FFFFFF"/>
                <w:sz w:val="18"/>
              </w:rPr>
              <w:t>Examples / indicators</w:t>
            </w:r>
          </w:p>
        </w:tc>
      </w:tr>
      <w:tr w:rsidR="00E95B5A" w14:paraId="5013E8B2" w14:textId="77777777">
        <w:trPr>
          <w:jc w:val="center"/>
        </w:trPr>
        <w:tc>
          <w:tcPr>
            <w:tcW w:w="3360" w:type="dxa"/>
            <w:vAlign w:val="center"/>
          </w:tcPr>
          <w:p w14:paraId="25AF63DB" w14:textId="77777777" w:rsidR="00E95B5A" w:rsidRDefault="00FB24B5">
            <w:r>
              <w:rPr>
                <w:b/>
                <w:sz w:val="16"/>
              </w:rPr>
              <w:t>General wellness product</w:t>
            </w:r>
          </w:p>
        </w:tc>
        <w:tc>
          <w:tcPr>
            <w:tcW w:w="3360" w:type="dxa"/>
            <w:vAlign w:val="center"/>
          </w:tcPr>
          <w:p w14:paraId="5496846D" w14:textId="77777777" w:rsidR="00E95B5A" w:rsidRDefault="00FB24B5">
            <w:r>
              <w:rPr>
                <w:sz w:val="16"/>
              </w:rPr>
              <w:t>A low-risk product intended to maintain or encourage a healthy lifestyle and not intended for diagnosis, cure, mitigation, prevention, or treatment of a disease or condition.</w:t>
            </w:r>
          </w:p>
        </w:tc>
        <w:tc>
          <w:tcPr>
            <w:tcW w:w="3360" w:type="dxa"/>
            <w:vAlign w:val="center"/>
          </w:tcPr>
          <w:p w14:paraId="2D632875" w14:textId="77777777" w:rsidR="00E95B5A" w:rsidRDefault="00FB24B5">
            <w:r>
              <w:rPr>
                <w:sz w:val="16"/>
              </w:rPr>
              <w:t>Stress-management support, sleep habits, hydration, fitness, general mindfulness, healthy-lifestyle coaching, or non-clinical wellbeing support when disease-specific medical claims are not made.</w:t>
            </w:r>
          </w:p>
        </w:tc>
      </w:tr>
      <w:tr w:rsidR="00E95B5A" w14:paraId="290D8693" w14:textId="77777777">
        <w:trPr>
          <w:jc w:val="center"/>
        </w:trPr>
        <w:tc>
          <w:tcPr>
            <w:tcW w:w="3360" w:type="dxa"/>
            <w:vAlign w:val="center"/>
          </w:tcPr>
          <w:p w14:paraId="26D2C67D" w14:textId="77777777" w:rsidR="00E95B5A" w:rsidRDefault="00FB24B5">
            <w:r>
              <w:rPr>
                <w:b/>
                <w:sz w:val="16"/>
              </w:rPr>
              <w:t>Medical device / device software function</w:t>
            </w:r>
          </w:p>
        </w:tc>
        <w:tc>
          <w:tcPr>
            <w:tcW w:w="3360" w:type="dxa"/>
            <w:vAlign w:val="center"/>
          </w:tcPr>
          <w:p w14:paraId="7F156A5F" w14:textId="77777777" w:rsidR="00E95B5A" w:rsidRDefault="00FB24B5">
            <w:r>
              <w:rPr>
                <w:sz w:val="16"/>
              </w:rPr>
              <w:t>A product or software function that meets the statutory device definition because of its intended medical purpose or function.</w:t>
            </w:r>
          </w:p>
        </w:tc>
        <w:tc>
          <w:tcPr>
            <w:tcW w:w="3360" w:type="dxa"/>
            <w:vAlign w:val="center"/>
          </w:tcPr>
          <w:p w14:paraId="739EAADB" w14:textId="77777777" w:rsidR="00E95B5A" w:rsidRDefault="00FB24B5">
            <w:r>
              <w:rPr>
                <w:sz w:val="16"/>
              </w:rPr>
              <w:t>Software intended to diagnose, screen, detect, predict, monitor, treat, mitigate, or prevent a disease or condition; or software that controls or affects a hardware medical device.</w:t>
            </w:r>
          </w:p>
        </w:tc>
      </w:tr>
      <w:tr w:rsidR="00E95B5A" w14:paraId="3175A528" w14:textId="77777777">
        <w:trPr>
          <w:jc w:val="center"/>
        </w:trPr>
        <w:tc>
          <w:tcPr>
            <w:tcW w:w="3360" w:type="dxa"/>
            <w:vAlign w:val="center"/>
          </w:tcPr>
          <w:p w14:paraId="06F0885A" w14:textId="77777777" w:rsidR="00E95B5A" w:rsidRDefault="00FB24B5">
            <w:r>
              <w:rPr>
                <w:b/>
                <w:sz w:val="16"/>
              </w:rPr>
              <w:t>Software as a Medical Device (SaMD)</w:t>
            </w:r>
          </w:p>
        </w:tc>
        <w:tc>
          <w:tcPr>
            <w:tcW w:w="3360" w:type="dxa"/>
            <w:vAlign w:val="center"/>
          </w:tcPr>
          <w:p w14:paraId="54AB9B18" w14:textId="77777777" w:rsidR="00E95B5A" w:rsidRDefault="00FB24B5">
            <w:r>
              <w:rPr>
                <w:sz w:val="16"/>
              </w:rPr>
              <w:t>Software intended for one or more medical purposes that performs those purposes without being part of a hardware medical device.</w:t>
            </w:r>
          </w:p>
        </w:tc>
        <w:tc>
          <w:tcPr>
            <w:tcW w:w="3360" w:type="dxa"/>
            <w:vAlign w:val="center"/>
          </w:tcPr>
          <w:p w14:paraId="5669BC9D" w14:textId="77777777" w:rsidR="00E95B5A" w:rsidRDefault="00FB24B5">
            <w:r>
              <w:rPr>
                <w:sz w:val="16"/>
              </w:rPr>
              <w:t>Standalone software that analyzes patient data and provides a diagnostic, treatment, monitoring, or clinical-management output.</w:t>
            </w:r>
          </w:p>
        </w:tc>
      </w:tr>
      <w:tr w:rsidR="00E95B5A" w14:paraId="3B3DEA91" w14:textId="77777777">
        <w:trPr>
          <w:jc w:val="center"/>
        </w:trPr>
        <w:tc>
          <w:tcPr>
            <w:tcW w:w="3360" w:type="dxa"/>
            <w:vAlign w:val="center"/>
          </w:tcPr>
          <w:p w14:paraId="094DCC5F" w14:textId="77777777" w:rsidR="00E95B5A" w:rsidRDefault="00FB24B5">
            <w:r>
              <w:rPr>
                <w:b/>
                <w:sz w:val="16"/>
              </w:rPr>
              <w:t>AI-enabled device software function</w:t>
            </w:r>
          </w:p>
        </w:tc>
        <w:tc>
          <w:tcPr>
            <w:tcW w:w="3360" w:type="dxa"/>
            <w:vAlign w:val="center"/>
          </w:tcPr>
          <w:p w14:paraId="08A60E04" w14:textId="77777777" w:rsidR="00E95B5A" w:rsidRDefault="00FB24B5">
            <w:r>
              <w:rPr>
                <w:sz w:val="16"/>
              </w:rPr>
              <w:t>A device software function that uses AI or machine learning as part of its functionality.</w:t>
            </w:r>
          </w:p>
        </w:tc>
        <w:tc>
          <w:tcPr>
            <w:tcW w:w="3360" w:type="dxa"/>
            <w:vAlign w:val="center"/>
          </w:tcPr>
          <w:p w14:paraId="65745717" w14:textId="77777777" w:rsidR="00E95B5A" w:rsidRDefault="00FB24B5">
            <w:r>
              <w:rPr>
                <w:sz w:val="16"/>
              </w:rPr>
              <w:t xml:space="preserve">AI image interpretation, risk prediction, diagnostic classification, algorithmic </w:t>
            </w:r>
            <w:r>
              <w:rPr>
                <w:sz w:val="16"/>
              </w:rPr>
              <w:lastRenderedPageBreak/>
              <w:t>treatment recommendation, automated clinical monitoring.</w:t>
            </w:r>
          </w:p>
        </w:tc>
      </w:tr>
      <w:tr w:rsidR="00E95B5A" w14:paraId="3F690820" w14:textId="77777777">
        <w:trPr>
          <w:jc w:val="center"/>
        </w:trPr>
        <w:tc>
          <w:tcPr>
            <w:tcW w:w="3360" w:type="dxa"/>
            <w:vAlign w:val="center"/>
          </w:tcPr>
          <w:p w14:paraId="515C9504" w14:textId="77777777" w:rsidR="00E95B5A" w:rsidRDefault="00FB24B5">
            <w:r>
              <w:rPr>
                <w:b/>
                <w:sz w:val="16"/>
              </w:rPr>
              <w:lastRenderedPageBreak/>
              <w:t>Investigational device</w:t>
            </w:r>
          </w:p>
        </w:tc>
        <w:tc>
          <w:tcPr>
            <w:tcW w:w="3360" w:type="dxa"/>
            <w:vAlign w:val="center"/>
          </w:tcPr>
          <w:p w14:paraId="67CD9A36" w14:textId="77777777" w:rsidR="00E95B5A" w:rsidRDefault="00FB24B5">
            <w:r>
              <w:rPr>
                <w:sz w:val="16"/>
              </w:rPr>
              <w:t>A device that is the subject of a clinical investigation. A legally marketed device can also become investigational when studied for a new intended use or certain modifications.</w:t>
            </w:r>
          </w:p>
        </w:tc>
        <w:tc>
          <w:tcPr>
            <w:tcW w:w="3360" w:type="dxa"/>
            <w:vAlign w:val="center"/>
          </w:tcPr>
          <w:p w14:paraId="55A1E8B3" w14:textId="77777777" w:rsidR="00E95B5A" w:rsidRDefault="00FB24B5">
            <w:r>
              <w:rPr>
                <w:sz w:val="16"/>
              </w:rPr>
              <w:t>Prototype device; uncleared software; a cleared product evaluated outside its authorized intended use; researcher-developed SaMD being clinically evaluated.</w:t>
            </w:r>
          </w:p>
        </w:tc>
      </w:tr>
    </w:tbl>
    <w:p w14:paraId="3B697916" w14:textId="77777777" w:rsidR="00E95B5A" w:rsidRDefault="00FB24B5">
      <w:pPr>
        <w:pStyle w:val="Heading1"/>
      </w:pPr>
      <w:r>
        <w:t>3. Initial Classification Decision Path</w:t>
      </w:r>
    </w:p>
    <w:p w14:paraId="58570314" w14:textId="77777777" w:rsidR="00E95B5A" w:rsidRDefault="00FB24B5">
      <w:pPr>
        <w:spacing w:after="20"/>
      </w:pPr>
      <w:r>
        <w:rPr>
          <w:b/>
          <w:color w:val="2F5597"/>
        </w:rPr>
        <w:t>Step 1 — Identify the intended use</w:t>
      </w:r>
    </w:p>
    <w:p w14:paraId="1D1DF80D" w14:textId="77777777" w:rsidR="00E95B5A" w:rsidRDefault="00FB24B5">
      <w:pPr>
        <w:spacing w:after="100"/>
        <w:ind w:left="288"/>
      </w:pPr>
      <w:r>
        <w:t>State exactly what the AI is intended to do for the participant, patient, clinician, researcher, or other user. Avoid relying only on labels such as “wellness app” or “AI chatbot.”</w:t>
      </w:r>
    </w:p>
    <w:p w14:paraId="21C1BFC6" w14:textId="77777777" w:rsidR="00E95B5A" w:rsidRDefault="00FB24B5">
      <w:pPr>
        <w:spacing w:after="20"/>
      </w:pPr>
      <w:r>
        <w:rPr>
          <w:b/>
          <w:color w:val="2F5597"/>
        </w:rPr>
        <w:t>Step 2 — Ask whether the function has a medical purpose</w:t>
      </w:r>
    </w:p>
    <w:p w14:paraId="20E6D97C" w14:textId="77777777" w:rsidR="00E95B5A" w:rsidRDefault="00FB24B5">
      <w:pPr>
        <w:spacing w:after="100"/>
        <w:ind w:left="288"/>
      </w:pPr>
      <w:r>
        <w:t>Does the AI diagnose, screen, detect, predict, prevent, monitor, mitigate, treat, or provide recommendations about a disease, disorder, injury, symptom, or clinical condition? Does it analyze medical data to support clinical management? If yes, device considerations are likely.</w:t>
      </w:r>
    </w:p>
    <w:p w14:paraId="5332399F" w14:textId="77777777" w:rsidR="00E95B5A" w:rsidRDefault="00FB24B5">
      <w:pPr>
        <w:spacing w:after="20"/>
      </w:pPr>
      <w:r>
        <w:rPr>
          <w:b/>
          <w:color w:val="2F5597"/>
        </w:rPr>
        <w:t>Step 3 — If wellness is claimed, test whether the claim is truly general wellness</w:t>
      </w:r>
    </w:p>
    <w:p w14:paraId="48D95EDB" w14:textId="77777777" w:rsidR="00E95B5A" w:rsidRDefault="00FB24B5">
      <w:pPr>
        <w:spacing w:after="100"/>
        <w:ind w:left="288"/>
      </w:pPr>
      <w:r>
        <w:t>The purpose should be maintaining or encouraging a healthy lifestyle and unrelated to diagnosis, cure, mitigation, prevention, or treatment of disease. Disease-specific claims, clinical alerts, diagnostic labels, or treatment recommendations can move the product outside general wellness.</w:t>
      </w:r>
    </w:p>
    <w:p w14:paraId="5618C615" w14:textId="77777777" w:rsidR="00E95B5A" w:rsidRDefault="00FB24B5">
      <w:pPr>
        <w:spacing w:after="20"/>
      </w:pPr>
      <w:r>
        <w:rPr>
          <w:b/>
          <w:color w:val="2F5597"/>
        </w:rPr>
        <w:t>Step 4 — If software has a medical purpose, determine whether it is SaMD or another device software function</w:t>
      </w:r>
    </w:p>
    <w:p w14:paraId="0F73FB42" w14:textId="77777777" w:rsidR="00E95B5A" w:rsidRDefault="00FB24B5">
      <w:pPr>
        <w:spacing w:after="100"/>
        <w:ind w:left="288"/>
      </w:pPr>
      <w:r>
        <w:t>If the software performs its medical purpose independently of a hardware medical device, it may be SaMD. If it is embedded in, controls, or is necessary to a hardware device, it may instead be software in a medical device or another device software function.</w:t>
      </w:r>
    </w:p>
    <w:p w14:paraId="6F7ACE78" w14:textId="77777777" w:rsidR="00E95B5A" w:rsidRDefault="00FB24B5">
      <w:pPr>
        <w:spacing w:after="20"/>
      </w:pPr>
      <w:r>
        <w:rPr>
          <w:b/>
          <w:color w:val="2F5597"/>
        </w:rPr>
        <w:t>Step 5 — If the study is a device investigation, address IDE status</w:t>
      </w:r>
    </w:p>
    <w:p w14:paraId="554FB3F9" w14:textId="77777777" w:rsidR="00E95B5A" w:rsidRDefault="00FB24B5">
      <w:pPr>
        <w:spacing w:after="100"/>
        <w:ind w:left="288"/>
      </w:pPr>
      <w:r>
        <w:t>The sponsor/investigator should explain whether the study is IDE-exempt, nonsignificant risk (NSR), or significant risk (SR). For NSR studies, the IRB makes the study-risk determination. SR studies require FDA IDE approval before initiation.</w:t>
      </w:r>
    </w:p>
    <w:p w14:paraId="6DB84453" w14:textId="77777777" w:rsidR="00E95B5A" w:rsidRDefault="00FB24B5">
      <w:pPr>
        <w:spacing w:after="20"/>
      </w:pPr>
      <w:r>
        <w:rPr>
          <w:b/>
          <w:color w:val="2F5597"/>
        </w:rPr>
        <w:t>Step 6 — Assess AI-specific human-subject risks regardless of FDA status</w:t>
      </w:r>
    </w:p>
    <w:p w14:paraId="5122216F" w14:textId="77777777" w:rsidR="00E95B5A" w:rsidRDefault="00FB24B5">
      <w:pPr>
        <w:spacing w:after="100"/>
        <w:ind w:left="288"/>
      </w:pPr>
      <w:r>
        <w:t>Privacy, data security, hallucinations, bias, inappropriate reliance, distress, emergency responses, model updates, third-party data use, and loss of clinician oversight can be IRB concerns even when the product is not an FDA-regulated device.</w:t>
      </w:r>
    </w:p>
    <w:tbl>
      <w:tblPr>
        <w:tblW w:w="0" w:type="auto"/>
        <w:jc w:val="center"/>
        <w:tblLook w:val="04A0" w:firstRow="1" w:lastRow="0" w:firstColumn="1" w:lastColumn="0" w:noHBand="0" w:noVBand="1"/>
      </w:tblPr>
      <w:tblGrid>
        <w:gridCol w:w="10080"/>
      </w:tblGrid>
      <w:tr w:rsidR="00E95B5A" w14:paraId="58A52596" w14:textId="77777777">
        <w:trPr>
          <w:jc w:val="center"/>
        </w:trPr>
        <w:tc>
          <w:tcPr>
            <w:tcW w:w="10080" w:type="dxa"/>
            <w:shd w:val="clear" w:color="auto" w:fill="EAF2F8"/>
          </w:tcPr>
          <w:p w14:paraId="25696DC7" w14:textId="77777777" w:rsidR="00E95B5A" w:rsidRDefault="00FB24B5">
            <w:r>
              <w:rPr>
                <w:b/>
                <w:color w:val="1F4E79"/>
              </w:rPr>
              <w:t>Important</w:t>
            </w:r>
            <w:r>
              <w:rPr>
                <w:b/>
                <w:color w:val="1F4E79"/>
              </w:rPr>
              <w:br/>
            </w:r>
            <w:r>
              <w:t>IRB review category under 45 CFR 46 (for example, Exempt, Expedited, or convened review) is separate from FDA device status. A study may be minimal risk yet still involve an investigational device, and an FDA-regulated device study may also be subject to FDA informed-consent and IRB requirements.</w:t>
            </w:r>
          </w:p>
        </w:tc>
      </w:tr>
    </w:tbl>
    <w:p w14:paraId="529FD178" w14:textId="77777777" w:rsidR="00E95B5A" w:rsidRDefault="00E95B5A">
      <w:pPr>
        <w:spacing w:after="0"/>
      </w:pPr>
    </w:p>
    <w:p w14:paraId="5833CA99" w14:textId="77777777" w:rsidR="00E95B5A" w:rsidRDefault="00FB24B5">
      <w:pPr>
        <w:pStyle w:val="Heading1"/>
      </w:pPr>
      <w:r>
        <w:t>4. Comparing General Wellness, Medical Device, and SaMD Research</w:t>
      </w:r>
    </w:p>
    <w:tbl>
      <w:tblPr>
        <w:tblStyle w:val="TableGrid"/>
        <w:tblW w:w="0" w:type="auto"/>
        <w:jc w:val="center"/>
        <w:tblLook w:val="04A0" w:firstRow="1" w:lastRow="0" w:firstColumn="1" w:lastColumn="0" w:noHBand="0" w:noVBand="1"/>
      </w:tblPr>
      <w:tblGrid>
        <w:gridCol w:w="2517"/>
        <w:gridCol w:w="2517"/>
        <w:gridCol w:w="2518"/>
        <w:gridCol w:w="2518"/>
      </w:tblGrid>
      <w:tr w:rsidR="00E95B5A" w14:paraId="320FD671" w14:textId="77777777">
        <w:trPr>
          <w:jc w:val="center"/>
        </w:trPr>
        <w:tc>
          <w:tcPr>
            <w:tcW w:w="2520" w:type="dxa"/>
            <w:shd w:val="clear" w:color="auto" w:fill="1F4E79"/>
            <w:vAlign w:val="center"/>
          </w:tcPr>
          <w:p w14:paraId="55F03FE6" w14:textId="77777777" w:rsidR="00E95B5A" w:rsidRDefault="00FB24B5">
            <w:r>
              <w:rPr>
                <w:b/>
                <w:color w:val="FFFFFF"/>
                <w:sz w:val="17"/>
              </w:rPr>
              <w:t>Question</w:t>
            </w:r>
          </w:p>
        </w:tc>
        <w:tc>
          <w:tcPr>
            <w:tcW w:w="2520" w:type="dxa"/>
            <w:shd w:val="clear" w:color="auto" w:fill="1F4E79"/>
            <w:vAlign w:val="center"/>
          </w:tcPr>
          <w:p w14:paraId="7CD03F1B" w14:textId="77777777" w:rsidR="00E95B5A" w:rsidRDefault="00FB24B5">
            <w:r>
              <w:rPr>
                <w:b/>
                <w:color w:val="FFFFFF"/>
                <w:sz w:val="17"/>
              </w:rPr>
              <w:t>General wellness</w:t>
            </w:r>
          </w:p>
        </w:tc>
        <w:tc>
          <w:tcPr>
            <w:tcW w:w="2520" w:type="dxa"/>
            <w:shd w:val="clear" w:color="auto" w:fill="1F4E79"/>
            <w:vAlign w:val="center"/>
          </w:tcPr>
          <w:p w14:paraId="5C11E5DE" w14:textId="77777777" w:rsidR="00E95B5A" w:rsidRDefault="00FB24B5">
            <w:r>
              <w:rPr>
                <w:b/>
                <w:color w:val="FFFFFF"/>
                <w:sz w:val="17"/>
              </w:rPr>
              <w:t>Medical device</w:t>
            </w:r>
          </w:p>
        </w:tc>
        <w:tc>
          <w:tcPr>
            <w:tcW w:w="2520" w:type="dxa"/>
            <w:shd w:val="clear" w:color="auto" w:fill="1F4E79"/>
            <w:vAlign w:val="center"/>
          </w:tcPr>
          <w:p w14:paraId="35AC679E" w14:textId="77777777" w:rsidR="00E95B5A" w:rsidRDefault="00FB24B5">
            <w:r>
              <w:rPr>
                <w:b/>
                <w:color w:val="FFFFFF"/>
                <w:sz w:val="17"/>
              </w:rPr>
              <w:t>SaMD</w:t>
            </w:r>
          </w:p>
        </w:tc>
      </w:tr>
      <w:tr w:rsidR="00E95B5A" w14:paraId="22470D31" w14:textId="77777777">
        <w:trPr>
          <w:jc w:val="center"/>
        </w:trPr>
        <w:tc>
          <w:tcPr>
            <w:tcW w:w="2520" w:type="dxa"/>
            <w:vAlign w:val="center"/>
          </w:tcPr>
          <w:p w14:paraId="24A26FD0" w14:textId="77777777" w:rsidR="00E95B5A" w:rsidRDefault="00FB24B5">
            <w:r>
              <w:rPr>
                <w:b/>
                <w:sz w:val="15"/>
              </w:rPr>
              <w:t>Typical intended use</w:t>
            </w:r>
          </w:p>
        </w:tc>
        <w:tc>
          <w:tcPr>
            <w:tcW w:w="2520" w:type="dxa"/>
            <w:vAlign w:val="center"/>
          </w:tcPr>
          <w:p w14:paraId="06A85256" w14:textId="77777777" w:rsidR="00E95B5A" w:rsidRDefault="00FB24B5">
            <w:r>
              <w:rPr>
                <w:sz w:val="15"/>
              </w:rPr>
              <w:t>Support a healthy lifestyle or general wellbeing.</w:t>
            </w:r>
          </w:p>
        </w:tc>
        <w:tc>
          <w:tcPr>
            <w:tcW w:w="2520" w:type="dxa"/>
            <w:vAlign w:val="center"/>
          </w:tcPr>
          <w:p w14:paraId="026B6392" w14:textId="77777777" w:rsidR="00E95B5A" w:rsidRDefault="00FB24B5">
            <w:r>
              <w:rPr>
                <w:sz w:val="15"/>
              </w:rPr>
              <w:t>Medical purpose involving diagnosis, treatment, prevention, monitoring, mitigation, etc.</w:t>
            </w:r>
          </w:p>
        </w:tc>
        <w:tc>
          <w:tcPr>
            <w:tcW w:w="2520" w:type="dxa"/>
            <w:vAlign w:val="center"/>
          </w:tcPr>
          <w:p w14:paraId="6CD77F99" w14:textId="77777777" w:rsidR="00E95B5A" w:rsidRDefault="00FB24B5">
            <w:r>
              <w:rPr>
                <w:sz w:val="15"/>
              </w:rPr>
              <w:t>Same medical-purpose concept, but performed by standalone software.</w:t>
            </w:r>
          </w:p>
        </w:tc>
      </w:tr>
      <w:tr w:rsidR="00E95B5A" w14:paraId="1ACDE43F" w14:textId="77777777">
        <w:trPr>
          <w:jc w:val="center"/>
        </w:trPr>
        <w:tc>
          <w:tcPr>
            <w:tcW w:w="2520" w:type="dxa"/>
            <w:vAlign w:val="center"/>
          </w:tcPr>
          <w:p w14:paraId="1AD1DDE8" w14:textId="77777777" w:rsidR="00E95B5A" w:rsidRDefault="00FB24B5">
            <w:r>
              <w:rPr>
                <w:b/>
                <w:sz w:val="15"/>
              </w:rPr>
              <w:t>Disease-specific claim</w:t>
            </w:r>
          </w:p>
        </w:tc>
        <w:tc>
          <w:tcPr>
            <w:tcW w:w="2520" w:type="dxa"/>
            <w:vAlign w:val="center"/>
          </w:tcPr>
          <w:p w14:paraId="003ABD3D" w14:textId="77777777" w:rsidR="00E95B5A" w:rsidRDefault="00FB24B5">
            <w:r>
              <w:rPr>
                <w:sz w:val="15"/>
              </w:rPr>
              <w:t>Generally inconsistent with a purely general-wellness position.</w:t>
            </w:r>
          </w:p>
        </w:tc>
        <w:tc>
          <w:tcPr>
            <w:tcW w:w="2520" w:type="dxa"/>
            <w:vAlign w:val="center"/>
          </w:tcPr>
          <w:p w14:paraId="687A8A39" w14:textId="77777777" w:rsidR="00E95B5A" w:rsidRDefault="00FB24B5">
            <w:r>
              <w:rPr>
                <w:sz w:val="15"/>
              </w:rPr>
              <w:t>Often present.</w:t>
            </w:r>
          </w:p>
        </w:tc>
        <w:tc>
          <w:tcPr>
            <w:tcW w:w="2520" w:type="dxa"/>
            <w:vAlign w:val="center"/>
          </w:tcPr>
          <w:p w14:paraId="4015AE56" w14:textId="77777777" w:rsidR="00E95B5A" w:rsidRDefault="00FB24B5">
            <w:r>
              <w:rPr>
                <w:sz w:val="15"/>
              </w:rPr>
              <w:t>Often present.</w:t>
            </w:r>
          </w:p>
        </w:tc>
      </w:tr>
      <w:tr w:rsidR="00E95B5A" w14:paraId="7AB7ABF8" w14:textId="77777777">
        <w:trPr>
          <w:jc w:val="center"/>
        </w:trPr>
        <w:tc>
          <w:tcPr>
            <w:tcW w:w="2520" w:type="dxa"/>
            <w:vAlign w:val="center"/>
          </w:tcPr>
          <w:p w14:paraId="67BA17E8" w14:textId="77777777" w:rsidR="00E95B5A" w:rsidRDefault="00FB24B5">
            <w:r>
              <w:rPr>
                <w:b/>
                <w:sz w:val="15"/>
              </w:rPr>
              <w:t>Clinical decision impact</w:t>
            </w:r>
          </w:p>
        </w:tc>
        <w:tc>
          <w:tcPr>
            <w:tcW w:w="2520" w:type="dxa"/>
            <w:vAlign w:val="center"/>
          </w:tcPr>
          <w:p w14:paraId="69340302" w14:textId="77777777" w:rsidR="00E95B5A" w:rsidRDefault="00FB24B5">
            <w:r>
              <w:rPr>
                <w:sz w:val="15"/>
              </w:rPr>
              <w:t>Should not be relied upon for medical diagnosis or treatment.</w:t>
            </w:r>
          </w:p>
        </w:tc>
        <w:tc>
          <w:tcPr>
            <w:tcW w:w="2520" w:type="dxa"/>
            <w:vAlign w:val="center"/>
          </w:tcPr>
          <w:p w14:paraId="0B645ADE" w14:textId="77777777" w:rsidR="00E95B5A" w:rsidRDefault="00FB24B5">
            <w:r>
              <w:rPr>
                <w:sz w:val="15"/>
              </w:rPr>
              <w:t>May affect clinical decisions or patient management.</w:t>
            </w:r>
          </w:p>
        </w:tc>
        <w:tc>
          <w:tcPr>
            <w:tcW w:w="2520" w:type="dxa"/>
            <w:vAlign w:val="center"/>
          </w:tcPr>
          <w:p w14:paraId="23FEA2C9" w14:textId="77777777" w:rsidR="00E95B5A" w:rsidRDefault="00FB24B5">
            <w:r>
              <w:rPr>
                <w:sz w:val="15"/>
              </w:rPr>
              <w:t>May inform, drive, treat, or diagnose depending on intended use.</w:t>
            </w:r>
          </w:p>
        </w:tc>
      </w:tr>
      <w:tr w:rsidR="00E95B5A" w14:paraId="502FB032" w14:textId="77777777">
        <w:trPr>
          <w:jc w:val="center"/>
        </w:trPr>
        <w:tc>
          <w:tcPr>
            <w:tcW w:w="2520" w:type="dxa"/>
            <w:vAlign w:val="center"/>
          </w:tcPr>
          <w:p w14:paraId="734D36B6" w14:textId="77777777" w:rsidR="00E95B5A" w:rsidRDefault="00FB24B5">
            <w:r>
              <w:rPr>
                <w:b/>
                <w:sz w:val="15"/>
              </w:rPr>
              <w:lastRenderedPageBreak/>
              <w:t>FDA device analysis</w:t>
            </w:r>
          </w:p>
        </w:tc>
        <w:tc>
          <w:tcPr>
            <w:tcW w:w="2520" w:type="dxa"/>
            <w:vAlign w:val="center"/>
          </w:tcPr>
          <w:p w14:paraId="7438DA6D" w14:textId="77777777" w:rsidR="00E95B5A" w:rsidRDefault="00FB24B5">
            <w:r>
              <w:rPr>
                <w:sz w:val="15"/>
              </w:rPr>
              <w:t>May be outside device definition or subject to FDA general-wellness policy if low risk.</w:t>
            </w:r>
          </w:p>
        </w:tc>
        <w:tc>
          <w:tcPr>
            <w:tcW w:w="2520" w:type="dxa"/>
            <w:vAlign w:val="center"/>
          </w:tcPr>
          <w:p w14:paraId="4420809B" w14:textId="77777777" w:rsidR="00E95B5A" w:rsidRDefault="00FB24B5">
            <w:r>
              <w:rPr>
                <w:sz w:val="15"/>
              </w:rPr>
              <w:t>Required when the function meets device definition.</w:t>
            </w:r>
          </w:p>
        </w:tc>
        <w:tc>
          <w:tcPr>
            <w:tcW w:w="2520" w:type="dxa"/>
            <w:vAlign w:val="center"/>
          </w:tcPr>
          <w:p w14:paraId="2DF2A1A3" w14:textId="77777777" w:rsidR="00E95B5A" w:rsidRDefault="00FB24B5">
            <w:r>
              <w:rPr>
                <w:sz w:val="15"/>
              </w:rPr>
              <w:t>Required; SaMD is a type of medical-device software when it meets FDA’s device definition.</w:t>
            </w:r>
          </w:p>
        </w:tc>
      </w:tr>
      <w:tr w:rsidR="00E95B5A" w14:paraId="0B3A5BA2" w14:textId="77777777">
        <w:trPr>
          <w:jc w:val="center"/>
        </w:trPr>
        <w:tc>
          <w:tcPr>
            <w:tcW w:w="2520" w:type="dxa"/>
            <w:vAlign w:val="center"/>
          </w:tcPr>
          <w:p w14:paraId="50876107" w14:textId="77777777" w:rsidR="00E95B5A" w:rsidRDefault="00FB24B5">
            <w:r>
              <w:rPr>
                <w:b/>
                <w:sz w:val="15"/>
              </w:rPr>
              <w:t>IDE analysis for HSR</w:t>
            </w:r>
          </w:p>
        </w:tc>
        <w:tc>
          <w:tcPr>
            <w:tcW w:w="2520" w:type="dxa"/>
            <w:vAlign w:val="center"/>
          </w:tcPr>
          <w:p w14:paraId="74A234D6" w14:textId="77777777" w:rsidR="00E95B5A" w:rsidRDefault="00FB24B5">
            <w:r>
              <w:rPr>
                <w:sz w:val="15"/>
              </w:rPr>
              <w:t>Usually not applicable if the product is not a device.</w:t>
            </w:r>
          </w:p>
        </w:tc>
        <w:tc>
          <w:tcPr>
            <w:tcW w:w="2520" w:type="dxa"/>
            <w:vAlign w:val="center"/>
          </w:tcPr>
          <w:p w14:paraId="0DD1FA25" w14:textId="77777777" w:rsidR="00E95B5A" w:rsidRDefault="00FB24B5">
            <w:r>
              <w:rPr>
                <w:sz w:val="15"/>
              </w:rPr>
              <w:t>May be required if the study is a clinical investigation of an investigational device.</w:t>
            </w:r>
          </w:p>
        </w:tc>
        <w:tc>
          <w:tcPr>
            <w:tcW w:w="2520" w:type="dxa"/>
            <w:vAlign w:val="center"/>
          </w:tcPr>
          <w:p w14:paraId="4B760F6B" w14:textId="77777777" w:rsidR="00E95B5A" w:rsidRDefault="00FB24B5">
            <w:r>
              <w:rPr>
                <w:sz w:val="15"/>
              </w:rPr>
              <w:t>May be required if the study is a clinical investigation of investigational SaMD.</w:t>
            </w:r>
          </w:p>
        </w:tc>
      </w:tr>
      <w:tr w:rsidR="00E95B5A" w14:paraId="68919C1A" w14:textId="77777777">
        <w:trPr>
          <w:jc w:val="center"/>
        </w:trPr>
        <w:tc>
          <w:tcPr>
            <w:tcW w:w="2520" w:type="dxa"/>
            <w:vAlign w:val="center"/>
          </w:tcPr>
          <w:p w14:paraId="58DA0E92" w14:textId="77777777" w:rsidR="00E95B5A" w:rsidRDefault="00FB24B5">
            <w:r>
              <w:rPr>
                <w:b/>
                <w:sz w:val="15"/>
              </w:rPr>
              <w:t>IRB focus</w:t>
            </w:r>
          </w:p>
        </w:tc>
        <w:tc>
          <w:tcPr>
            <w:tcW w:w="2520" w:type="dxa"/>
            <w:vAlign w:val="center"/>
          </w:tcPr>
          <w:p w14:paraId="406DE423" w14:textId="77777777" w:rsidR="00E95B5A" w:rsidRDefault="00FB24B5">
            <w:r>
              <w:rPr>
                <w:sz w:val="15"/>
              </w:rPr>
              <w:t>Misleading wellness claims, privacy, safety escalation, AI errors, distress, data sharing.</w:t>
            </w:r>
          </w:p>
        </w:tc>
        <w:tc>
          <w:tcPr>
            <w:tcW w:w="2520" w:type="dxa"/>
            <w:vAlign w:val="center"/>
          </w:tcPr>
          <w:p w14:paraId="52D5D82C" w14:textId="77777777" w:rsidR="00E95B5A" w:rsidRDefault="00FB24B5">
            <w:r>
              <w:rPr>
                <w:sz w:val="15"/>
              </w:rPr>
              <w:t>Device status, IDE/SR-NSR basis, risks, failure modes, monitoring, consent, regulatory documentation.</w:t>
            </w:r>
          </w:p>
        </w:tc>
        <w:tc>
          <w:tcPr>
            <w:tcW w:w="2520" w:type="dxa"/>
            <w:vAlign w:val="center"/>
          </w:tcPr>
          <w:p w14:paraId="70D2F86F" w14:textId="77777777" w:rsidR="00E95B5A" w:rsidRDefault="00FB24B5">
            <w:r>
              <w:rPr>
                <w:sz w:val="15"/>
              </w:rPr>
              <w:t>All device issues plus software validation, model performance, updates, bias, cybersecurity, explainability, data provenance, and human-AI interaction.</w:t>
            </w:r>
          </w:p>
        </w:tc>
      </w:tr>
    </w:tbl>
    <w:p w14:paraId="351E934C" w14:textId="77777777" w:rsidR="00E95B5A" w:rsidRDefault="00FB24B5">
      <w:pPr>
        <w:pStyle w:val="Heading1"/>
      </w:pPr>
      <w:r>
        <w:t>5. Information the IRB Submission Should Include</w:t>
      </w:r>
    </w:p>
    <w:p w14:paraId="71059C21" w14:textId="77777777" w:rsidR="00E95B5A" w:rsidRDefault="00FB24B5">
      <w:pPr>
        <w:pStyle w:val="Heading2"/>
      </w:pPr>
      <w:r>
        <w:t>A. Description of the AI tool</w:t>
      </w:r>
    </w:p>
    <w:p w14:paraId="7F438FCD" w14:textId="77777777" w:rsidR="00E95B5A" w:rsidRDefault="00FB24B5">
      <w:pPr>
        <w:pStyle w:val="ListBullet"/>
        <w:spacing w:after="40"/>
      </w:pPr>
      <w:r>
        <w:t>Name and version of the application/model and whether it is commercially available, open source, institutionally developed, or researcher/student developed.</w:t>
      </w:r>
    </w:p>
    <w:p w14:paraId="5DF0A860" w14:textId="77777777" w:rsidR="00E95B5A" w:rsidRDefault="00FB24B5">
      <w:pPr>
        <w:pStyle w:val="ListBullet"/>
        <w:spacing w:after="40"/>
      </w:pPr>
      <w:r>
        <w:t>Who developed, owns, hosts, and maintains the AI system.</w:t>
      </w:r>
    </w:p>
    <w:p w14:paraId="74786348" w14:textId="77777777" w:rsidR="00E95B5A" w:rsidRDefault="00FB24B5">
      <w:pPr>
        <w:pStyle w:val="ListBullet"/>
        <w:spacing w:after="40"/>
      </w:pPr>
      <w:r>
        <w:t>Whether the system uses a large language model, machine-learning classifier, generative AI, computer vision, predictive algorithm, or another AI method.</w:t>
      </w:r>
    </w:p>
    <w:p w14:paraId="4985BD63" w14:textId="77777777" w:rsidR="00E95B5A" w:rsidRDefault="00FB24B5">
      <w:pPr>
        <w:pStyle w:val="ListBullet"/>
        <w:spacing w:after="40"/>
      </w:pPr>
      <w:r>
        <w:t>Whether the model is fixed/locked during the study or can change through retraining, adaptive learning, vendor updates, prompt changes, model-version changes, or retrieval-source changes.</w:t>
      </w:r>
    </w:p>
    <w:p w14:paraId="2ABF5F19" w14:textId="77777777" w:rsidR="00E95B5A" w:rsidRDefault="00FB24B5">
      <w:pPr>
        <w:pStyle w:val="ListBullet"/>
        <w:spacing w:after="40"/>
      </w:pPr>
      <w:r>
        <w:t>Inputs used by the AI (e.g., participant responses, images, audio, sensor data, EHR data, clinical history) and outputs produced.</w:t>
      </w:r>
    </w:p>
    <w:p w14:paraId="0AB01DA6" w14:textId="77777777" w:rsidR="00E95B5A" w:rsidRDefault="00FB24B5">
      <w:pPr>
        <w:pStyle w:val="Heading2"/>
      </w:pPr>
      <w:r>
        <w:t>B. Intended use and regulatory rationale</w:t>
      </w:r>
    </w:p>
    <w:p w14:paraId="216E1B6F" w14:textId="77777777" w:rsidR="00E95B5A" w:rsidRDefault="00FB24B5">
      <w:pPr>
        <w:pStyle w:val="ListBullet"/>
        <w:spacing w:after="40"/>
      </w:pPr>
      <w:r>
        <w:t>A plain-language intended-use statement that describes the population, user, function, and purpose.</w:t>
      </w:r>
    </w:p>
    <w:p w14:paraId="181F38A9" w14:textId="77777777" w:rsidR="00E95B5A" w:rsidRDefault="00FB24B5">
      <w:pPr>
        <w:pStyle w:val="ListBullet"/>
        <w:spacing w:after="40"/>
      </w:pPr>
      <w:r>
        <w:t>Whether the tool is being studied for general wellness, medical-device functionality, SaMD functionality, or another purpose.</w:t>
      </w:r>
    </w:p>
    <w:p w14:paraId="00CD5BE1" w14:textId="77777777" w:rsidR="00E95B5A" w:rsidRDefault="00FB24B5">
      <w:pPr>
        <w:pStyle w:val="ListBullet"/>
        <w:spacing w:after="40"/>
      </w:pPr>
      <w:r>
        <w:t>If general wellness is claimed, explain why the function is unrelated to diagnosis, cure, mitigation, prevention, or treatment of disease or a medical condition.</w:t>
      </w:r>
    </w:p>
    <w:p w14:paraId="614A67DB" w14:textId="77777777" w:rsidR="00E95B5A" w:rsidRDefault="00FB24B5">
      <w:pPr>
        <w:pStyle w:val="ListBullet"/>
        <w:spacing w:after="40"/>
      </w:pPr>
      <w:r>
        <w:t>If the tool may be a medical device, identify any FDA clearance, authorization, approval, classification, product code, 510(k), De Novo, PMA, or other relevant status, if applicable.</w:t>
      </w:r>
    </w:p>
    <w:p w14:paraId="7E7F2156" w14:textId="77777777" w:rsidR="00E95B5A" w:rsidRDefault="00FB24B5">
      <w:pPr>
        <w:pStyle w:val="ListBullet"/>
        <w:spacing w:after="40"/>
      </w:pPr>
      <w:r>
        <w:t>If investigational, provide the sponsor’s IDE-exempt/NSR/SR assessment and supporting rationale. Do not simply state “minimal risk” as the basis for an NSR conclusion.</w:t>
      </w:r>
    </w:p>
    <w:p w14:paraId="6E2ED14E" w14:textId="77777777" w:rsidR="00E95B5A" w:rsidRDefault="00FB24B5">
      <w:pPr>
        <w:pStyle w:val="Heading2"/>
      </w:pPr>
      <w:r>
        <w:t>C. Study-specific use of AI</w:t>
      </w:r>
    </w:p>
    <w:p w14:paraId="1520A14A" w14:textId="77777777" w:rsidR="00E95B5A" w:rsidRDefault="00FB24B5">
      <w:pPr>
        <w:pStyle w:val="ListBullet"/>
        <w:spacing w:after="40"/>
      </w:pPr>
      <w:r>
        <w:t>Exactly what participants and study staff will do with the AI tool and how often.</w:t>
      </w:r>
    </w:p>
    <w:p w14:paraId="1FD8426A" w14:textId="77777777" w:rsidR="00E95B5A" w:rsidRDefault="00FB24B5">
      <w:pPr>
        <w:pStyle w:val="ListBullet"/>
        <w:spacing w:after="40"/>
      </w:pPr>
      <w:r>
        <w:t>Whether participants will see AI-generated output and whether clinicians/researchers will see or act on it.</w:t>
      </w:r>
    </w:p>
    <w:p w14:paraId="4678AEA1" w14:textId="77777777" w:rsidR="00E95B5A" w:rsidRDefault="00FB24B5">
      <w:pPr>
        <w:pStyle w:val="ListBullet"/>
        <w:spacing w:after="40"/>
      </w:pPr>
      <w:r>
        <w:t>Whether output will be used only as a research measurement or will influence clinical care, referrals, eligibility, treatment, safety decisions, or participant behavior.</w:t>
      </w:r>
    </w:p>
    <w:p w14:paraId="1ED03354" w14:textId="77777777" w:rsidR="00E95B5A" w:rsidRDefault="00FB24B5">
      <w:pPr>
        <w:pStyle w:val="ListBullet"/>
        <w:spacing w:after="40"/>
      </w:pPr>
      <w:r>
        <w:t>Whether participants are instructed not to rely on the AI for medical care and how that instruction is reinforced when appropriate.</w:t>
      </w:r>
    </w:p>
    <w:p w14:paraId="344DD304" w14:textId="77777777" w:rsidR="00E95B5A" w:rsidRDefault="00FB24B5">
      <w:pPr>
        <w:pStyle w:val="ListBullet"/>
        <w:spacing w:after="40"/>
      </w:pPr>
      <w:r>
        <w:t>What happens if the AI produces a concerning, inaccurate, unsafe, or nonsensical response.</w:t>
      </w:r>
    </w:p>
    <w:p w14:paraId="28A50E75" w14:textId="77777777" w:rsidR="00E95B5A" w:rsidRDefault="00FB24B5">
      <w:pPr>
        <w:pStyle w:val="Heading2"/>
      </w:pPr>
      <w:r>
        <w:t>D. Performance and validation</w:t>
      </w:r>
    </w:p>
    <w:p w14:paraId="5F28555A" w14:textId="77777777" w:rsidR="00E95B5A" w:rsidRDefault="00FB24B5">
      <w:pPr>
        <w:pStyle w:val="ListBullet"/>
        <w:spacing w:after="40"/>
      </w:pPr>
      <w:r>
        <w:t>What evidence supports the tool’s expected performance in the population being studied.</w:t>
      </w:r>
    </w:p>
    <w:p w14:paraId="295F360A" w14:textId="77777777" w:rsidR="00E95B5A" w:rsidRDefault="00FB24B5">
      <w:pPr>
        <w:pStyle w:val="ListBullet"/>
        <w:spacing w:after="40"/>
      </w:pPr>
      <w:r>
        <w:t>How accuracy, reliability, sensitivity/specificity, calibration, agreement, or other relevant performance measures were established or will be evaluated.</w:t>
      </w:r>
    </w:p>
    <w:p w14:paraId="44A8D707" w14:textId="77777777" w:rsidR="00E95B5A" w:rsidRDefault="00FB24B5">
      <w:pPr>
        <w:pStyle w:val="ListBullet"/>
        <w:spacing w:after="40"/>
      </w:pPr>
      <w:r>
        <w:t>Known failure modes, limitations, out-of-distribution limitations, subgroup performance concerns, and circumstances in which output should not be trusted.</w:t>
      </w:r>
    </w:p>
    <w:p w14:paraId="1C4E06A1" w14:textId="77777777" w:rsidR="00E95B5A" w:rsidRDefault="00FB24B5">
      <w:pPr>
        <w:pStyle w:val="ListBullet"/>
        <w:spacing w:after="40"/>
      </w:pPr>
      <w:r>
        <w:lastRenderedPageBreak/>
        <w:t>How hallucinations, false positives, false negatives, and inconsistent output will be detected or managed.</w:t>
      </w:r>
    </w:p>
    <w:p w14:paraId="78611538" w14:textId="77777777" w:rsidR="00E95B5A" w:rsidRDefault="00FB24B5">
      <w:pPr>
        <w:pStyle w:val="ListBullet"/>
        <w:spacing w:after="40"/>
      </w:pPr>
      <w:r>
        <w:t>For generative systems, whether prompts/system instructions are standardized and how output variability will be handled analytically.</w:t>
      </w:r>
    </w:p>
    <w:p w14:paraId="3F77F12A" w14:textId="77777777" w:rsidR="00E95B5A" w:rsidRDefault="00FB24B5">
      <w:pPr>
        <w:pStyle w:val="Heading2"/>
      </w:pPr>
      <w:r>
        <w:t>E. Data privacy, confidentiality, and third-party processing</w:t>
      </w:r>
    </w:p>
    <w:p w14:paraId="776BC0C8" w14:textId="77777777" w:rsidR="00E95B5A" w:rsidRDefault="00FB24B5">
      <w:pPr>
        <w:pStyle w:val="ListBullet"/>
        <w:spacing w:after="40"/>
      </w:pPr>
      <w:r>
        <w:t>What data are sent to the AI system, vendor, API, cloud provider, or external model and where those data are stored.</w:t>
      </w:r>
    </w:p>
    <w:p w14:paraId="7BCFA167" w14:textId="77777777" w:rsidR="00E95B5A" w:rsidRDefault="00FB24B5">
      <w:pPr>
        <w:pStyle w:val="ListBullet"/>
        <w:spacing w:after="40"/>
      </w:pPr>
      <w:r>
        <w:t>Whether data may be retained, used for vendor model training, human review, product improvement, logging, or secondary purposes.</w:t>
      </w:r>
    </w:p>
    <w:p w14:paraId="676FEA38" w14:textId="77777777" w:rsidR="00E95B5A" w:rsidRDefault="00FB24B5">
      <w:pPr>
        <w:pStyle w:val="ListBullet"/>
        <w:spacing w:after="40"/>
      </w:pPr>
      <w:r>
        <w:t>Whether identifiers, PHI, FERPA-protected information, biometrics, voice, images, geolocation, or other sensitive information are transmitted.</w:t>
      </w:r>
    </w:p>
    <w:p w14:paraId="4B7965A6" w14:textId="77777777" w:rsidR="00E95B5A" w:rsidRDefault="00FB24B5">
      <w:pPr>
        <w:pStyle w:val="ListBullet"/>
        <w:spacing w:after="40"/>
      </w:pPr>
      <w:r>
        <w:t>Encryption, access controls, retention/deletion schedule, breach-response process, and institutional security review when applicable.</w:t>
      </w:r>
    </w:p>
    <w:p w14:paraId="0B3D5C16" w14:textId="77777777" w:rsidR="00E95B5A" w:rsidRDefault="00FB24B5">
      <w:pPr>
        <w:pStyle w:val="ListBullet"/>
        <w:spacing w:after="40"/>
      </w:pPr>
      <w:r>
        <w:t>Whether the researcher can guarantee deletion or non-training by the vendor; the consent form should not promise protections the team cannot verify.</w:t>
      </w:r>
    </w:p>
    <w:p w14:paraId="4C02761B" w14:textId="77777777" w:rsidR="00E95B5A" w:rsidRDefault="00FB24B5">
      <w:pPr>
        <w:pStyle w:val="Heading2"/>
      </w:pPr>
      <w:r>
        <w:t>F. Safety and human oversight</w:t>
      </w:r>
    </w:p>
    <w:p w14:paraId="1579D9E7" w14:textId="77777777" w:rsidR="00E95B5A" w:rsidRDefault="00FB24B5">
      <w:pPr>
        <w:pStyle w:val="ListBullet"/>
        <w:spacing w:after="40"/>
      </w:pPr>
      <w:r>
        <w:t>How the system handles emergencies, self-harm content, abuse, severe symptoms, or other safety-sensitive disclosures when relevant.</w:t>
      </w:r>
    </w:p>
    <w:p w14:paraId="7EA94290" w14:textId="77777777" w:rsidR="00E95B5A" w:rsidRDefault="00FB24B5">
      <w:pPr>
        <w:pStyle w:val="ListBullet"/>
        <w:spacing w:after="40"/>
      </w:pPr>
      <w:r>
        <w:t>Whether a qualified human reviews high-risk outputs and the timeframe for review.</w:t>
      </w:r>
    </w:p>
    <w:p w14:paraId="3E6B91BD" w14:textId="77777777" w:rsidR="00E95B5A" w:rsidRDefault="00FB24B5">
      <w:pPr>
        <w:pStyle w:val="ListBullet"/>
        <w:spacing w:after="40"/>
      </w:pPr>
      <w:r>
        <w:t>Clear stopping rules, withdrawal criteria, escalation procedures, and reporting pathways for adverse events or unanticipated problems.</w:t>
      </w:r>
    </w:p>
    <w:p w14:paraId="3FC2CA37" w14:textId="77777777" w:rsidR="00E95B5A" w:rsidRDefault="00FB24B5">
      <w:pPr>
        <w:pStyle w:val="ListBullet"/>
        <w:spacing w:after="40"/>
      </w:pPr>
      <w:r>
        <w:t>How participants can obtain non-AI assistance if the tool fails or produces concerning information.</w:t>
      </w:r>
    </w:p>
    <w:p w14:paraId="2ED46F8E" w14:textId="77777777" w:rsidR="00E95B5A" w:rsidRDefault="00FB24B5">
      <w:pPr>
        <w:pStyle w:val="ListBullet"/>
        <w:spacing w:after="40"/>
      </w:pPr>
      <w:r>
        <w:t>Whether study staff are trained not to over-rely on AI output and how disagreements between AI output and professional judgment are managed.</w:t>
      </w:r>
    </w:p>
    <w:p w14:paraId="26C870AE" w14:textId="77777777" w:rsidR="00E95B5A" w:rsidRDefault="00FB24B5">
      <w:pPr>
        <w:pStyle w:val="Heading1"/>
      </w:pPr>
      <w:r>
        <w:t>6. Researcher- or Student-Developed AI Tools</w:t>
      </w:r>
    </w:p>
    <w:p w14:paraId="729791BC" w14:textId="77777777" w:rsidR="00E95B5A" w:rsidRDefault="00FB24B5">
      <w:r>
        <w:t>A tool does not fall outside FDA or IRB consideration merely because it was created by a student, faculty investigator, laboratory, or university and has not been commercialized. When the research team developed the tool, the protocol should additionally describe:</w:t>
      </w:r>
    </w:p>
    <w:p w14:paraId="3BBEC0EC" w14:textId="77777777" w:rsidR="00E95B5A" w:rsidRDefault="00FB24B5">
      <w:pPr>
        <w:pStyle w:val="ListBullet"/>
        <w:spacing w:after="40"/>
      </w:pPr>
      <w:r>
        <w:t>who functions as the developer/sponsor and who has authority to change the software;</w:t>
      </w:r>
    </w:p>
    <w:p w14:paraId="1FFBFFAB" w14:textId="77777777" w:rsidR="00E95B5A" w:rsidRDefault="00FB24B5">
      <w:pPr>
        <w:pStyle w:val="ListBullet"/>
        <w:spacing w:after="40"/>
      </w:pPr>
      <w:r>
        <w:t>development stage (prototype, feasibility version, validation version, production version);</w:t>
      </w:r>
    </w:p>
    <w:p w14:paraId="218C061C" w14:textId="77777777" w:rsidR="00E95B5A" w:rsidRDefault="00FB24B5">
      <w:pPr>
        <w:pStyle w:val="ListBullet"/>
        <w:spacing w:after="40"/>
      </w:pPr>
      <w:r>
        <w:t>version control and change-management procedures during the study;</w:t>
      </w:r>
    </w:p>
    <w:p w14:paraId="13D3227D" w14:textId="77777777" w:rsidR="00E95B5A" w:rsidRDefault="00FB24B5">
      <w:pPr>
        <w:pStyle w:val="ListBullet"/>
        <w:spacing w:after="40"/>
      </w:pPr>
      <w:r>
        <w:t>testing completed before use with human subjects, including unit, integration, usability, security, and performance testing as relevant;</w:t>
      </w:r>
    </w:p>
    <w:p w14:paraId="25DEBF5F" w14:textId="77777777" w:rsidR="00E95B5A" w:rsidRDefault="00FB24B5">
      <w:pPr>
        <w:pStyle w:val="ListBullet"/>
        <w:spacing w:after="40"/>
      </w:pPr>
      <w:r>
        <w:t>the intended future use. A study framed as “feasibility” may still be a device investigation if it evaluates a tool intended for a medical purpose;</w:t>
      </w:r>
    </w:p>
    <w:p w14:paraId="6D606E8F" w14:textId="77777777" w:rsidR="00E95B5A" w:rsidRDefault="00FB24B5">
      <w:pPr>
        <w:pStyle w:val="ListBullet"/>
        <w:spacing w:after="40"/>
      </w:pPr>
      <w:r>
        <w:t>whether the study is testing only reliability/usability/technical feasibility or is evaluating diagnostic, predictive, monitoring, or treatment performance; and</w:t>
      </w:r>
    </w:p>
    <w:p w14:paraId="277E55FE" w14:textId="77777777" w:rsidR="00E95B5A" w:rsidRDefault="00FB24B5">
      <w:pPr>
        <w:pStyle w:val="ListBullet"/>
        <w:spacing w:after="40"/>
      </w:pPr>
      <w:r>
        <w:t>why the research team believes the study is or is not subject to FDA device/IDE requirements.</w:t>
      </w:r>
    </w:p>
    <w:tbl>
      <w:tblPr>
        <w:tblW w:w="0" w:type="auto"/>
        <w:jc w:val="center"/>
        <w:tblLook w:val="04A0" w:firstRow="1" w:lastRow="0" w:firstColumn="1" w:lastColumn="0" w:noHBand="0" w:noVBand="1"/>
      </w:tblPr>
      <w:tblGrid>
        <w:gridCol w:w="10080"/>
      </w:tblGrid>
      <w:tr w:rsidR="00E95B5A" w14:paraId="3A248CE7" w14:textId="77777777">
        <w:trPr>
          <w:jc w:val="center"/>
        </w:trPr>
        <w:tc>
          <w:tcPr>
            <w:tcW w:w="10080" w:type="dxa"/>
            <w:shd w:val="clear" w:color="auto" w:fill="EAF2F8"/>
          </w:tcPr>
          <w:p w14:paraId="34B5B66F" w14:textId="77777777" w:rsidR="00E95B5A" w:rsidRDefault="00FB24B5">
            <w:r>
              <w:rPr>
                <w:b/>
                <w:color w:val="1F4E79"/>
              </w:rPr>
              <w:t>Example distinction</w:t>
            </w:r>
            <w:r>
              <w:rPr>
                <w:b/>
                <w:color w:val="1F4E79"/>
              </w:rPr>
              <w:br/>
            </w:r>
            <w:r>
              <w:t xml:space="preserve">A healthy-control study that evaluates test-retest reliability, missingness, completion rates, usability, and browser/device feasibility—without diagnosing, predicting, treating, or making clinical decisions—may support an argument that the present study is limited to technical/measurement feasibility. However, the intended use and claims of the software still matter. If the platform is described as detecting a disease or post-event clinical </w:t>
            </w:r>
            <w:r>
              <w:lastRenderedPageBreak/>
              <w:t>condition, the protocol title, aims, interface, and study materials should not contradict the claimed non-clinical purpose.</w:t>
            </w:r>
          </w:p>
        </w:tc>
      </w:tr>
    </w:tbl>
    <w:p w14:paraId="273E45D2" w14:textId="77777777" w:rsidR="00E95B5A" w:rsidRDefault="00E95B5A">
      <w:pPr>
        <w:spacing w:after="0"/>
      </w:pPr>
    </w:p>
    <w:p w14:paraId="1B096335" w14:textId="77777777" w:rsidR="00E95B5A" w:rsidRDefault="00FB24B5">
      <w:pPr>
        <w:pStyle w:val="Heading1"/>
      </w:pPr>
      <w:r>
        <w:t>7. Recommended Consent Elements for AI Studies</w:t>
      </w:r>
    </w:p>
    <w:p w14:paraId="522F9A88" w14:textId="77777777" w:rsidR="00E95B5A" w:rsidRDefault="00FB24B5">
      <w:r>
        <w:t>Consent language should be proportionate to the actual study and understandable to participants. Consider addressing:</w:t>
      </w:r>
    </w:p>
    <w:p w14:paraId="074828AE" w14:textId="77777777" w:rsidR="00E95B5A" w:rsidRDefault="00FB24B5">
      <w:pPr>
        <w:pStyle w:val="ListBullet"/>
        <w:spacing w:after="40"/>
      </w:pPr>
      <w:r>
        <w:t>that an AI system is being used and what role it plays in the study;</w:t>
      </w:r>
    </w:p>
    <w:p w14:paraId="764D4372" w14:textId="77777777" w:rsidR="00E95B5A" w:rsidRDefault="00FB24B5">
      <w:pPr>
        <w:pStyle w:val="ListBullet"/>
        <w:spacing w:after="40"/>
      </w:pPr>
      <w:r>
        <w:t>whether participants are interacting directly with AI or whether AI is used only behind the scenes for analysis;</w:t>
      </w:r>
    </w:p>
    <w:p w14:paraId="0D215B03" w14:textId="77777777" w:rsidR="00E95B5A" w:rsidRDefault="00FB24B5">
      <w:pPr>
        <w:pStyle w:val="ListBullet"/>
        <w:spacing w:after="40"/>
      </w:pPr>
      <w:r>
        <w:t>that AI-generated information can be inaccurate, incomplete, biased, or inconsistent when this is a reasonably foreseeable risk;</w:t>
      </w:r>
    </w:p>
    <w:p w14:paraId="53AD3976" w14:textId="77777777" w:rsidR="00E95B5A" w:rsidRDefault="00FB24B5">
      <w:pPr>
        <w:pStyle w:val="ListBullet"/>
        <w:spacing w:after="40"/>
      </w:pPr>
      <w:r>
        <w:t>whether the AI is investigational or has not been established as safe/effective for the study purpose, when applicable;</w:t>
      </w:r>
    </w:p>
    <w:p w14:paraId="378246A0" w14:textId="77777777" w:rsidR="00E95B5A" w:rsidRDefault="00FB24B5">
      <w:pPr>
        <w:pStyle w:val="ListBullet"/>
        <w:spacing w:after="40"/>
      </w:pPr>
      <w:r>
        <w:t>whether the tool is not a substitute for medical or mental-health care, when appropriate;</w:t>
      </w:r>
    </w:p>
    <w:p w14:paraId="1BDC2B0A" w14:textId="77777777" w:rsidR="00E95B5A" w:rsidRDefault="00FB24B5">
      <w:pPr>
        <w:pStyle w:val="ListBullet"/>
        <w:spacing w:after="40"/>
      </w:pPr>
      <w:r>
        <w:t>what participant information is transmitted to external AI vendors or cloud systems and any material limits on confidentiality;</w:t>
      </w:r>
    </w:p>
    <w:p w14:paraId="686BD9F9" w14:textId="77777777" w:rsidR="00E95B5A" w:rsidRDefault="00FB24B5">
      <w:pPr>
        <w:pStyle w:val="ListBullet"/>
        <w:spacing w:after="40"/>
      </w:pPr>
      <w:r>
        <w:t>whether conversations or prompts are stored and whether they may be reviewed by the research team or vendor;</w:t>
      </w:r>
    </w:p>
    <w:p w14:paraId="0C962045" w14:textId="77777777" w:rsidR="00E95B5A" w:rsidRDefault="00FB24B5">
      <w:pPr>
        <w:pStyle w:val="ListBullet"/>
        <w:spacing w:after="40"/>
      </w:pPr>
      <w:r>
        <w:t>what participants should do if they receive concerning medical or safety information; and</w:t>
      </w:r>
    </w:p>
    <w:p w14:paraId="76609F60" w14:textId="77777777" w:rsidR="00E95B5A" w:rsidRDefault="00FB24B5">
      <w:pPr>
        <w:pStyle w:val="ListBullet"/>
        <w:spacing w:after="40"/>
      </w:pPr>
      <w:r>
        <w:t>whether participants will be informed of individual AI-generated results and, if so, whether those results are clinically validated.</w:t>
      </w:r>
    </w:p>
    <w:p w14:paraId="73CF1B6F" w14:textId="77777777" w:rsidR="00E95B5A" w:rsidRDefault="00FB24B5">
      <w:pPr>
        <w:pStyle w:val="Heading1"/>
      </w:pPr>
      <w:r>
        <w:t>8. AI-Specific IRB Risk Assessment</w:t>
      </w:r>
    </w:p>
    <w:tbl>
      <w:tblPr>
        <w:tblStyle w:val="TableGrid"/>
        <w:tblW w:w="0" w:type="auto"/>
        <w:jc w:val="center"/>
        <w:tblLook w:val="04A0" w:firstRow="1" w:lastRow="0" w:firstColumn="1" w:lastColumn="0" w:noHBand="0" w:noVBand="1"/>
      </w:tblPr>
      <w:tblGrid>
        <w:gridCol w:w="3356"/>
        <w:gridCol w:w="3357"/>
        <w:gridCol w:w="3357"/>
      </w:tblGrid>
      <w:tr w:rsidR="00E95B5A" w14:paraId="75A29497" w14:textId="77777777">
        <w:trPr>
          <w:jc w:val="center"/>
        </w:trPr>
        <w:tc>
          <w:tcPr>
            <w:tcW w:w="3360" w:type="dxa"/>
            <w:shd w:val="clear" w:color="auto" w:fill="1F4E79"/>
            <w:vAlign w:val="center"/>
          </w:tcPr>
          <w:p w14:paraId="6B5C7160" w14:textId="77777777" w:rsidR="00E95B5A" w:rsidRDefault="00FB24B5">
            <w:r>
              <w:rPr>
                <w:b/>
                <w:color w:val="FFFFFF"/>
                <w:sz w:val="17"/>
              </w:rPr>
              <w:t>Risk area</w:t>
            </w:r>
          </w:p>
        </w:tc>
        <w:tc>
          <w:tcPr>
            <w:tcW w:w="3360" w:type="dxa"/>
            <w:shd w:val="clear" w:color="auto" w:fill="1F4E79"/>
            <w:vAlign w:val="center"/>
          </w:tcPr>
          <w:p w14:paraId="54765A0C" w14:textId="77777777" w:rsidR="00E95B5A" w:rsidRDefault="00FB24B5">
            <w:r>
              <w:rPr>
                <w:b/>
                <w:color w:val="FFFFFF"/>
                <w:sz w:val="17"/>
              </w:rPr>
              <w:t>Questions for the research team</w:t>
            </w:r>
          </w:p>
        </w:tc>
        <w:tc>
          <w:tcPr>
            <w:tcW w:w="3360" w:type="dxa"/>
            <w:shd w:val="clear" w:color="auto" w:fill="1F4E79"/>
            <w:vAlign w:val="center"/>
          </w:tcPr>
          <w:p w14:paraId="5B696708" w14:textId="77777777" w:rsidR="00E95B5A" w:rsidRDefault="00FB24B5">
            <w:r>
              <w:rPr>
                <w:b/>
                <w:color w:val="FFFFFF"/>
                <w:sz w:val="17"/>
              </w:rPr>
              <w:t>Possible safeguards</w:t>
            </w:r>
          </w:p>
        </w:tc>
      </w:tr>
      <w:tr w:rsidR="00E95B5A" w14:paraId="2DB31975" w14:textId="77777777">
        <w:trPr>
          <w:jc w:val="center"/>
        </w:trPr>
        <w:tc>
          <w:tcPr>
            <w:tcW w:w="3360" w:type="dxa"/>
            <w:vAlign w:val="center"/>
          </w:tcPr>
          <w:p w14:paraId="792B5A44" w14:textId="77777777" w:rsidR="00E95B5A" w:rsidRDefault="00FB24B5">
            <w:r>
              <w:rPr>
                <w:b/>
                <w:sz w:val="15"/>
              </w:rPr>
              <w:t>Hallucination / inaccurate output</w:t>
            </w:r>
          </w:p>
        </w:tc>
        <w:tc>
          <w:tcPr>
            <w:tcW w:w="3360" w:type="dxa"/>
            <w:vAlign w:val="center"/>
          </w:tcPr>
          <w:p w14:paraId="0F32D4D2" w14:textId="77777777" w:rsidR="00E95B5A" w:rsidRDefault="00FB24B5">
            <w:r>
              <w:rPr>
                <w:sz w:val="15"/>
              </w:rPr>
              <w:t>Can the system generate false facts, false reassurance, unsafe advice, or incorrect clinical classifications?</w:t>
            </w:r>
          </w:p>
        </w:tc>
        <w:tc>
          <w:tcPr>
            <w:tcW w:w="3360" w:type="dxa"/>
            <w:vAlign w:val="center"/>
          </w:tcPr>
          <w:p w14:paraId="2C1B4858" w14:textId="77777777" w:rsidR="00E95B5A" w:rsidRDefault="00FB24B5">
            <w:r>
              <w:rPr>
                <w:sz w:val="15"/>
              </w:rPr>
              <w:t>Constrain output; human review; disclaimers where meaningful; validated response rules; crisis/escalation logic; prohibit clinical reliance when not validated.</w:t>
            </w:r>
          </w:p>
        </w:tc>
      </w:tr>
      <w:tr w:rsidR="00E95B5A" w14:paraId="27D8D6C6" w14:textId="77777777">
        <w:trPr>
          <w:jc w:val="center"/>
        </w:trPr>
        <w:tc>
          <w:tcPr>
            <w:tcW w:w="3360" w:type="dxa"/>
            <w:vAlign w:val="center"/>
          </w:tcPr>
          <w:p w14:paraId="4AE46DE7" w14:textId="77777777" w:rsidR="00E95B5A" w:rsidRDefault="00FB24B5">
            <w:r>
              <w:rPr>
                <w:b/>
                <w:sz w:val="15"/>
              </w:rPr>
              <w:t>Bias / subgroup performance</w:t>
            </w:r>
          </w:p>
        </w:tc>
        <w:tc>
          <w:tcPr>
            <w:tcW w:w="3360" w:type="dxa"/>
            <w:vAlign w:val="center"/>
          </w:tcPr>
          <w:p w14:paraId="38590CF0" w14:textId="77777777" w:rsidR="00E95B5A" w:rsidRDefault="00FB24B5">
            <w:r>
              <w:rPr>
                <w:sz w:val="15"/>
              </w:rPr>
              <w:t>Was the model validated in populations similar to study participants? Could performance differ by race, sex, age, language, disability, or other relevant characteristics?</w:t>
            </w:r>
          </w:p>
        </w:tc>
        <w:tc>
          <w:tcPr>
            <w:tcW w:w="3360" w:type="dxa"/>
            <w:vAlign w:val="center"/>
          </w:tcPr>
          <w:p w14:paraId="4B521ABE" w14:textId="77777777" w:rsidR="00E95B5A" w:rsidRDefault="00FB24B5">
            <w:r>
              <w:rPr>
                <w:sz w:val="15"/>
              </w:rPr>
              <w:t>Subgroup testing; inclusive validation; monitor differential errors; limit claims to validated populations.</w:t>
            </w:r>
          </w:p>
        </w:tc>
      </w:tr>
      <w:tr w:rsidR="00E95B5A" w14:paraId="51CB0350" w14:textId="77777777">
        <w:trPr>
          <w:jc w:val="center"/>
        </w:trPr>
        <w:tc>
          <w:tcPr>
            <w:tcW w:w="3360" w:type="dxa"/>
            <w:vAlign w:val="center"/>
          </w:tcPr>
          <w:p w14:paraId="44B4250C" w14:textId="77777777" w:rsidR="00E95B5A" w:rsidRDefault="00FB24B5">
            <w:r>
              <w:rPr>
                <w:b/>
                <w:sz w:val="15"/>
              </w:rPr>
              <w:t>Automation bias</w:t>
            </w:r>
          </w:p>
        </w:tc>
        <w:tc>
          <w:tcPr>
            <w:tcW w:w="3360" w:type="dxa"/>
            <w:vAlign w:val="center"/>
          </w:tcPr>
          <w:p w14:paraId="4DFE2343" w14:textId="77777777" w:rsidR="00E95B5A" w:rsidRDefault="00FB24B5">
            <w:r>
              <w:rPr>
                <w:sz w:val="15"/>
              </w:rPr>
              <w:t>Could participants or staff over-trust AI output because it appears authoritative?</w:t>
            </w:r>
          </w:p>
        </w:tc>
        <w:tc>
          <w:tcPr>
            <w:tcW w:w="3360" w:type="dxa"/>
            <w:vAlign w:val="center"/>
          </w:tcPr>
          <w:p w14:paraId="299B9C61" w14:textId="77777777" w:rsidR="00E95B5A" w:rsidRDefault="00FB24B5">
            <w:r>
              <w:rPr>
                <w:sz w:val="15"/>
              </w:rPr>
              <w:t>Training; interface warnings; require independent professional review; document when AI output must not determine care.</w:t>
            </w:r>
          </w:p>
        </w:tc>
      </w:tr>
      <w:tr w:rsidR="00E95B5A" w14:paraId="5608952B" w14:textId="77777777">
        <w:trPr>
          <w:jc w:val="center"/>
        </w:trPr>
        <w:tc>
          <w:tcPr>
            <w:tcW w:w="3360" w:type="dxa"/>
            <w:vAlign w:val="center"/>
          </w:tcPr>
          <w:p w14:paraId="744AF83D" w14:textId="77777777" w:rsidR="00E95B5A" w:rsidRDefault="00FB24B5">
            <w:r>
              <w:rPr>
                <w:b/>
                <w:sz w:val="15"/>
              </w:rPr>
              <w:t>Privacy / vendor use</w:t>
            </w:r>
          </w:p>
        </w:tc>
        <w:tc>
          <w:tcPr>
            <w:tcW w:w="3360" w:type="dxa"/>
            <w:vAlign w:val="center"/>
          </w:tcPr>
          <w:p w14:paraId="7B2236BD" w14:textId="77777777" w:rsidR="00E95B5A" w:rsidRDefault="00FB24B5">
            <w:r>
              <w:rPr>
                <w:sz w:val="15"/>
              </w:rPr>
              <w:t>Are prompts, images, audio, PHI, or other sensitive data disclosed to a third party?</w:t>
            </w:r>
          </w:p>
        </w:tc>
        <w:tc>
          <w:tcPr>
            <w:tcW w:w="3360" w:type="dxa"/>
            <w:vAlign w:val="center"/>
          </w:tcPr>
          <w:p w14:paraId="6A9AF727" w14:textId="77777777" w:rsidR="00E95B5A" w:rsidRDefault="00FB24B5">
            <w:r>
              <w:rPr>
                <w:sz w:val="15"/>
              </w:rPr>
              <w:t>Data minimization; approved enterprise environment; de-identification; contract/security review; disable vendor training where available.</w:t>
            </w:r>
          </w:p>
        </w:tc>
      </w:tr>
      <w:tr w:rsidR="00E95B5A" w14:paraId="7314091C" w14:textId="77777777">
        <w:trPr>
          <w:jc w:val="center"/>
        </w:trPr>
        <w:tc>
          <w:tcPr>
            <w:tcW w:w="3360" w:type="dxa"/>
            <w:vAlign w:val="center"/>
          </w:tcPr>
          <w:p w14:paraId="224F7215" w14:textId="77777777" w:rsidR="00E95B5A" w:rsidRDefault="00FB24B5">
            <w:r>
              <w:rPr>
                <w:b/>
                <w:sz w:val="15"/>
              </w:rPr>
              <w:t>Model drift / updates</w:t>
            </w:r>
          </w:p>
        </w:tc>
        <w:tc>
          <w:tcPr>
            <w:tcW w:w="3360" w:type="dxa"/>
            <w:vAlign w:val="center"/>
          </w:tcPr>
          <w:p w14:paraId="5CD852D7" w14:textId="77777777" w:rsidR="00E95B5A" w:rsidRDefault="00FB24B5">
            <w:r>
              <w:rPr>
                <w:sz w:val="15"/>
              </w:rPr>
              <w:t>Can vendor or investigator changes alter performance during enrollment?</w:t>
            </w:r>
          </w:p>
        </w:tc>
        <w:tc>
          <w:tcPr>
            <w:tcW w:w="3360" w:type="dxa"/>
            <w:vAlign w:val="center"/>
          </w:tcPr>
          <w:p w14:paraId="71EED952" w14:textId="77777777" w:rsidR="00E95B5A" w:rsidRDefault="00FB24B5">
            <w:r>
              <w:rPr>
                <w:sz w:val="15"/>
              </w:rPr>
              <w:t>Lock model/version; document change control; pause enrollment for material changes; IRB modification before changes affecting risk or procedures.</w:t>
            </w:r>
          </w:p>
        </w:tc>
      </w:tr>
      <w:tr w:rsidR="00E95B5A" w14:paraId="3D16E06A" w14:textId="77777777">
        <w:trPr>
          <w:jc w:val="center"/>
        </w:trPr>
        <w:tc>
          <w:tcPr>
            <w:tcW w:w="3360" w:type="dxa"/>
            <w:vAlign w:val="center"/>
          </w:tcPr>
          <w:p w14:paraId="62AE6DC8" w14:textId="77777777" w:rsidR="00E95B5A" w:rsidRDefault="00FB24B5">
            <w:r>
              <w:rPr>
                <w:b/>
                <w:sz w:val="15"/>
              </w:rPr>
              <w:t>Emergency handling</w:t>
            </w:r>
          </w:p>
        </w:tc>
        <w:tc>
          <w:tcPr>
            <w:tcW w:w="3360" w:type="dxa"/>
            <w:vAlign w:val="center"/>
          </w:tcPr>
          <w:p w14:paraId="58B6802D" w14:textId="77777777" w:rsidR="00E95B5A" w:rsidRDefault="00FB24B5">
            <w:r>
              <w:rPr>
                <w:sz w:val="15"/>
              </w:rPr>
              <w:t>Could participants disclose suicidal intent, abuse, severe symptoms, or emergencies to an AI system?</w:t>
            </w:r>
          </w:p>
        </w:tc>
        <w:tc>
          <w:tcPr>
            <w:tcW w:w="3360" w:type="dxa"/>
            <w:vAlign w:val="center"/>
          </w:tcPr>
          <w:p w14:paraId="6C60151D" w14:textId="77777777" w:rsidR="00E95B5A" w:rsidRDefault="00FB24B5">
            <w:r>
              <w:rPr>
                <w:sz w:val="15"/>
              </w:rPr>
              <w:t>Explicit emergency limitations; crisis resources; real-time or defined human escalation where study design creates a monitoring expectation.</w:t>
            </w:r>
          </w:p>
        </w:tc>
      </w:tr>
      <w:tr w:rsidR="00E95B5A" w14:paraId="4FA1327B" w14:textId="77777777">
        <w:trPr>
          <w:jc w:val="center"/>
        </w:trPr>
        <w:tc>
          <w:tcPr>
            <w:tcW w:w="3360" w:type="dxa"/>
            <w:vAlign w:val="center"/>
          </w:tcPr>
          <w:p w14:paraId="31AC051F" w14:textId="77777777" w:rsidR="00E95B5A" w:rsidRDefault="00FB24B5">
            <w:r>
              <w:rPr>
                <w:b/>
                <w:sz w:val="15"/>
              </w:rPr>
              <w:t>Data provenance / copyright</w:t>
            </w:r>
          </w:p>
        </w:tc>
        <w:tc>
          <w:tcPr>
            <w:tcW w:w="3360" w:type="dxa"/>
            <w:vAlign w:val="center"/>
          </w:tcPr>
          <w:p w14:paraId="2F4D3C19" w14:textId="77777777" w:rsidR="00E95B5A" w:rsidRDefault="00FB24B5">
            <w:r>
              <w:rPr>
                <w:sz w:val="15"/>
              </w:rPr>
              <w:t>Does the model output rely on unclear source material or external retrieval?</w:t>
            </w:r>
          </w:p>
        </w:tc>
        <w:tc>
          <w:tcPr>
            <w:tcW w:w="3360" w:type="dxa"/>
            <w:vAlign w:val="center"/>
          </w:tcPr>
          <w:p w14:paraId="410749A6" w14:textId="77777777" w:rsidR="00E95B5A" w:rsidRDefault="00FB24B5">
            <w:r>
              <w:rPr>
                <w:sz w:val="15"/>
              </w:rPr>
              <w:t>Document data/source provenance to the extent known; validate output independently; avoid representing generated content as verified clinical information.</w:t>
            </w:r>
          </w:p>
        </w:tc>
      </w:tr>
      <w:tr w:rsidR="00E95B5A" w14:paraId="1252919F" w14:textId="77777777">
        <w:trPr>
          <w:jc w:val="center"/>
        </w:trPr>
        <w:tc>
          <w:tcPr>
            <w:tcW w:w="3360" w:type="dxa"/>
            <w:vAlign w:val="center"/>
          </w:tcPr>
          <w:p w14:paraId="761A75F7" w14:textId="77777777" w:rsidR="00E95B5A" w:rsidRDefault="00FB24B5">
            <w:r>
              <w:rPr>
                <w:b/>
                <w:sz w:val="15"/>
              </w:rPr>
              <w:t>Cybersecurity / availability</w:t>
            </w:r>
          </w:p>
        </w:tc>
        <w:tc>
          <w:tcPr>
            <w:tcW w:w="3360" w:type="dxa"/>
            <w:vAlign w:val="center"/>
          </w:tcPr>
          <w:p w14:paraId="702C8A66" w14:textId="77777777" w:rsidR="00E95B5A" w:rsidRDefault="00FB24B5">
            <w:r>
              <w:rPr>
                <w:sz w:val="15"/>
              </w:rPr>
              <w:t>What if the platform is breached, manipulated, unavailable, or produces altered output?</w:t>
            </w:r>
          </w:p>
        </w:tc>
        <w:tc>
          <w:tcPr>
            <w:tcW w:w="3360" w:type="dxa"/>
            <w:vAlign w:val="center"/>
          </w:tcPr>
          <w:p w14:paraId="77C66D0D" w14:textId="77777777" w:rsidR="00E95B5A" w:rsidRDefault="00FB24B5">
            <w:r>
              <w:rPr>
                <w:sz w:val="15"/>
              </w:rPr>
              <w:t>Access controls; logs; incident plan; fallback process; restrict privileged functions; security review.</w:t>
            </w:r>
          </w:p>
        </w:tc>
      </w:tr>
    </w:tbl>
    <w:p w14:paraId="04A94B05" w14:textId="77777777" w:rsidR="00E95B5A" w:rsidRDefault="00FB24B5">
      <w:pPr>
        <w:pStyle w:val="Heading1"/>
      </w:pPr>
      <w:r>
        <w:lastRenderedPageBreak/>
        <w:t>9. Study Titles and Claims Matter</w:t>
      </w:r>
    </w:p>
    <w:p w14:paraId="6DAFB284" w14:textId="77777777" w:rsidR="00E95B5A" w:rsidRDefault="00FB24B5">
      <w:r>
        <w:t>The study title, specific aims, recruitment materials, consent form, questionnaires, app screens, and publications should consistently reflect the actual study purpose. Device-signaling terms such as “detect,” “diagnose,” “predict,” “monitor,” “treat,” “screen,” “prevent,” or “clinical decision support” should be used only when that is truly the intended function and the related regulatory implications have been addressed.</w:t>
      </w:r>
    </w:p>
    <w:p w14:paraId="08605889" w14:textId="77777777" w:rsidR="00E95B5A" w:rsidRDefault="00FB24B5">
      <w:r>
        <w:t>For an early feasibility or reliability study that is intentionally not evaluating clinical performance, more accurate wording may focus on feasibility, reliability, usability, measurement stability, or technical performance rather than disease detection. For example:</w:t>
      </w:r>
    </w:p>
    <w:p w14:paraId="73312681" w14:textId="77777777" w:rsidR="00E95B5A" w:rsidRDefault="00FB24B5">
      <w:pPr>
        <w:pStyle w:val="ListBullet"/>
        <w:spacing w:after="40"/>
      </w:pPr>
      <w:r>
        <w:t>“Test-Retest Reliability and Usability of an AI-Enabled Smartphone Assessment in Healthy Adults”</w:t>
      </w:r>
    </w:p>
    <w:p w14:paraId="3F9F1F8B" w14:textId="77777777" w:rsidR="00E95B5A" w:rsidRDefault="00FB24B5">
      <w:pPr>
        <w:pStyle w:val="ListBullet"/>
        <w:spacing w:after="40"/>
      </w:pPr>
      <w:r>
        <w:t>“Feasibility Evaluation of an AI-Enabled Wellness Chatbot for Undergraduate Students”</w:t>
      </w:r>
    </w:p>
    <w:p w14:paraId="5689FAED" w14:textId="77777777" w:rsidR="00E95B5A" w:rsidRDefault="00FB24B5">
      <w:pPr>
        <w:pStyle w:val="ListBullet"/>
        <w:spacing w:after="40"/>
      </w:pPr>
      <w:r>
        <w:t>“Technical Feasibility and User Experience of an AI-Enabled Digital Assessment Platform”</w:t>
      </w:r>
    </w:p>
    <w:p w14:paraId="066C315D" w14:textId="77777777" w:rsidR="00E95B5A" w:rsidRDefault="00FB24B5">
      <w:pPr>
        <w:pStyle w:val="Heading1"/>
      </w:pPr>
      <w:r>
        <w:t>10. Researcher Submission Checklist</w:t>
      </w:r>
    </w:p>
    <w:p w14:paraId="7FAE7966" w14:textId="77777777" w:rsidR="00E95B5A" w:rsidRDefault="00FB24B5">
      <w:pPr>
        <w:spacing w:after="40"/>
      </w:pPr>
      <w:r>
        <w:t>☐  Describe the AI system and model/version.</w:t>
      </w:r>
    </w:p>
    <w:p w14:paraId="63743C3B" w14:textId="77777777" w:rsidR="00E95B5A" w:rsidRDefault="00FB24B5">
      <w:pPr>
        <w:spacing w:after="40"/>
      </w:pPr>
      <w:r>
        <w:t>☐  State who developed, owns, hosts, and maintains it.</w:t>
      </w:r>
    </w:p>
    <w:p w14:paraId="7D379F23" w14:textId="77777777" w:rsidR="00E95B5A" w:rsidRDefault="00FB24B5">
      <w:pPr>
        <w:spacing w:after="40"/>
      </w:pPr>
      <w:r>
        <w:t>☐  Provide a precise intended-use statement.</w:t>
      </w:r>
    </w:p>
    <w:p w14:paraId="59E0FDA5" w14:textId="77777777" w:rsidR="00E95B5A" w:rsidRDefault="00FB24B5">
      <w:pPr>
        <w:spacing w:after="40"/>
      </w:pPr>
      <w:r>
        <w:t>☐  Explain why the product is general wellness, non-device software, a medical device, SaMD, or another device software function.</w:t>
      </w:r>
    </w:p>
    <w:p w14:paraId="276F8D91" w14:textId="77777777" w:rsidR="00E95B5A" w:rsidRDefault="00FB24B5">
      <w:pPr>
        <w:spacing w:after="40"/>
      </w:pPr>
      <w:r>
        <w:t>☐  Identify applicable FDA marketing authorization or explain investigational status.</w:t>
      </w:r>
    </w:p>
    <w:p w14:paraId="7D96B95B" w14:textId="77777777" w:rsidR="00E95B5A" w:rsidRDefault="00FB24B5">
      <w:pPr>
        <w:spacing w:after="40"/>
      </w:pPr>
      <w:r>
        <w:t>☐  If investigational device research, provide IDE-exempt/NSR/SR rationale and supporting documentation.</w:t>
      </w:r>
    </w:p>
    <w:p w14:paraId="1A51D56B" w14:textId="77777777" w:rsidR="00E95B5A" w:rsidRDefault="00FB24B5">
      <w:pPr>
        <w:spacing w:after="40"/>
      </w:pPr>
      <w:r>
        <w:t>☐  Explain whether AI output affects clinical care or participant decisions.</w:t>
      </w:r>
    </w:p>
    <w:p w14:paraId="50751900" w14:textId="77777777" w:rsidR="00E95B5A" w:rsidRDefault="00FB24B5">
      <w:pPr>
        <w:spacing w:after="40"/>
      </w:pPr>
      <w:r>
        <w:t>☐  Describe validation, known limitations, error rates/failure modes, and subgroup performance as applicable.</w:t>
      </w:r>
    </w:p>
    <w:p w14:paraId="374CF881" w14:textId="77777777" w:rsidR="00E95B5A" w:rsidRDefault="00FB24B5">
      <w:pPr>
        <w:spacing w:after="40"/>
      </w:pPr>
      <w:r>
        <w:t>☐  Describe model changes/version control during the study.</w:t>
      </w:r>
    </w:p>
    <w:p w14:paraId="1EE64F19" w14:textId="77777777" w:rsidR="00E95B5A" w:rsidRDefault="00FB24B5">
      <w:pPr>
        <w:spacing w:after="40"/>
      </w:pPr>
      <w:r>
        <w:t>☐  Describe what data are sent to external AI systems and whether data are retained or used for training.</w:t>
      </w:r>
    </w:p>
    <w:p w14:paraId="04752A95" w14:textId="77777777" w:rsidR="00E95B5A" w:rsidRDefault="00FB24B5">
      <w:pPr>
        <w:spacing w:after="40"/>
      </w:pPr>
      <w:r>
        <w:t>☐  Address hallucination, bias, automation bias, emergency escalation, and human oversight.</w:t>
      </w:r>
    </w:p>
    <w:p w14:paraId="1DEF47F5" w14:textId="77777777" w:rsidR="00E95B5A" w:rsidRDefault="00FB24B5">
      <w:pPr>
        <w:spacing w:after="40"/>
      </w:pPr>
      <w:r>
        <w:t>☐  Ensure consent and recruitment materials accurately describe AI use and do not overstate benefit.</w:t>
      </w:r>
    </w:p>
    <w:p w14:paraId="7FA853D2" w14:textId="77777777" w:rsidR="00E95B5A" w:rsidRDefault="00FB24B5">
      <w:pPr>
        <w:spacing w:after="40"/>
      </w:pPr>
      <w:r>
        <w:t>☐  Ensure the study title and aims are consistent with the claimed regulatory purpose.</w:t>
      </w:r>
    </w:p>
    <w:p w14:paraId="77A4ACFA" w14:textId="77777777" w:rsidR="00E95B5A" w:rsidRDefault="00FB24B5">
      <w:pPr>
        <w:spacing w:after="40"/>
      </w:pPr>
      <w:r>
        <w:t>☐  Plan for reporting unanticipated problems, adverse device effects, security incidents, and material AI changes as applicable.</w:t>
      </w:r>
    </w:p>
    <w:p w14:paraId="038CDF3F" w14:textId="77777777" w:rsidR="00E95B5A" w:rsidRDefault="00FB24B5">
      <w:pPr>
        <w:pStyle w:val="Heading1"/>
      </w:pPr>
      <w:r>
        <w:t>11. Illustrative Examples</w:t>
      </w:r>
    </w:p>
    <w:p w14:paraId="4E5D2111" w14:textId="77777777" w:rsidR="00E95B5A" w:rsidRDefault="00FB24B5">
      <w:r>
        <w:rPr>
          <w:b/>
          <w:color w:val="2F5597"/>
        </w:rPr>
        <w:t>General wellness chatbot</w:t>
      </w:r>
    </w:p>
    <w:p w14:paraId="65CA7752" w14:textId="77777777" w:rsidR="00E95B5A" w:rsidRDefault="00FB24B5">
      <w:pPr>
        <w:ind w:left="288"/>
      </w:pPr>
      <w:r>
        <w:t>Scenario: An AI chatbot provides general stress-management, sleep-hygiene, exercise, and mindfulness suggestions to healthy college students. It does not diagnose anxiety/depression, assess clinical risk, recommend treatment, or claim to prevent or treat a disorder.</w:t>
      </w:r>
    </w:p>
    <w:p w14:paraId="23505F14" w14:textId="77777777" w:rsidR="00E95B5A" w:rsidRDefault="00FB24B5">
      <w:pPr>
        <w:spacing w:after="140"/>
        <w:ind w:left="288"/>
      </w:pPr>
      <w:r>
        <w:t>IRB/FDA consideration: May be consistent with general wellness/non-device positioning if the actual functions and claims remain non-medical. IRB should still examine privacy, harmful output, crisis disclosures, and third-party AI processing.</w:t>
      </w:r>
    </w:p>
    <w:p w14:paraId="5D5C5762" w14:textId="77777777" w:rsidR="00E95B5A" w:rsidRDefault="00FB24B5">
      <w:r>
        <w:rPr>
          <w:b/>
          <w:color w:val="2F5597"/>
        </w:rPr>
        <w:t>Potential SaMD — symptom detection</w:t>
      </w:r>
    </w:p>
    <w:p w14:paraId="3A9131A1" w14:textId="77777777" w:rsidR="00E95B5A" w:rsidRDefault="00FB24B5">
      <w:pPr>
        <w:ind w:left="288"/>
      </w:pPr>
      <w:r>
        <w:lastRenderedPageBreak/>
        <w:t>Scenario: A smartphone application analyzes speech, eye movements, or cognitive responses and outputs whether a person is likely experiencing post-seizure symptoms.</w:t>
      </w:r>
    </w:p>
    <w:p w14:paraId="6F29BDF5" w14:textId="77777777" w:rsidR="00E95B5A" w:rsidRDefault="00FB24B5">
      <w:pPr>
        <w:spacing w:after="140"/>
        <w:ind w:left="288"/>
      </w:pPr>
      <w:r>
        <w:t>IRB/FDA consideration: The disease-related detection/prediction purpose strongly raises device/SaMD considerations. The submission should address FDA device status and, if investigational, IDE applicability and SR/NSR rationale.</w:t>
      </w:r>
    </w:p>
    <w:p w14:paraId="2F69635B" w14:textId="77777777" w:rsidR="00E95B5A" w:rsidRDefault="00FB24B5">
      <w:r>
        <w:rPr>
          <w:b/>
          <w:color w:val="2F5597"/>
        </w:rPr>
        <w:t>Feasibility-only measurement study</w:t>
      </w:r>
    </w:p>
    <w:p w14:paraId="79155D91" w14:textId="77777777" w:rsidR="00E95B5A" w:rsidRDefault="00FB24B5">
      <w:pPr>
        <w:ind w:left="288"/>
      </w:pPr>
      <w:r>
        <w:t>Scenario: Healthy adults use a researcher-developed smartphone assessment repeatedly. The study evaluates reliability, missingness, completion, usability, and technical feasibility; no disease classification is returned and no clinical claim is tested.</w:t>
      </w:r>
    </w:p>
    <w:p w14:paraId="43B376C4" w14:textId="77777777" w:rsidR="00E95B5A" w:rsidRDefault="00FB24B5">
      <w:pPr>
        <w:spacing w:after="140"/>
        <w:ind w:left="288"/>
      </w:pPr>
      <w:r>
        <w:t>IRB/FDA consideration: The immediate study may be framed as technical/measurement feasibility, but the protocol should clearly separate this purpose from any future clinical validation. Device analysis may still be needed if the software’s intended use or claims remain medical.</w:t>
      </w:r>
    </w:p>
    <w:p w14:paraId="56E0170B" w14:textId="77777777" w:rsidR="00E95B5A" w:rsidRDefault="00FB24B5">
      <w:r>
        <w:rPr>
          <w:b/>
          <w:color w:val="2F5597"/>
        </w:rPr>
        <w:t>AI clinical decision support</w:t>
      </w:r>
    </w:p>
    <w:p w14:paraId="6DE0D2AA" w14:textId="77777777" w:rsidR="00E95B5A" w:rsidRDefault="00FB24B5">
      <w:pPr>
        <w:ind w:left="288"/>
      </w:pPr>
      <w:r>
        <w:t>Scenario: Software analyzes patient data and recommends a treatment or prioritizes urgent clinical action.</w:t>
      </w:r>
    </w:p>
    <w:p w14:paraId="64FEC382" w14:textId="77777777" w:rsidR="00E95B5A" w:rsidRDefault="00FB24B5">
      <w:pPr>
        <w:spacing w:after="140"/>
        <w:ind w:left="288"/>
      </w:pPr>
      <w:r>
        <w:t>IRB/FDA consideration: Likely device software considerations; depending on the function, user, and statutory CDS criteria, the software may or may not fall within a non-device CDS exclusion. FDA’s current CDS guidance should be reviewed.</w:t>
      </w:r>
    </w:p>
    <w:p w14:paraId="1C9F46E4" w14:textId="77777777" w:rsidR="00E95B5A" w:rsidRDefault="00FB24B5">
      <w:r>
        <w:rPr>
          <w:b/>
          <w:color w:val="2F5597"/>
        </w:rPr>
        <w:t>AI used only for research analysis</w:t>
      </w:r>
    </w:p>
    <w:p w14:paraId="256F6B8D" w14:textId="77777777" w:rsidR="00E95B5A" w:rsidRDefault="00FB24B5">
      <w:pPr>
        <w:ind w:left="288"/>
      </w:pPr>
      <w:r>
        <w:t>Scenario: Researchers use an AI model after data collection to code interview transcripts or classify de-identified research data. Participants never receive AI output and the model does not guide care.</w:t>
      </w:r>
    </w:p>
    <w:p w14:paraId="3E7DC814" w14:textId="77777777" w:rsidR="00E95B5A" w:rsidRDefault="00FB24B5">
      <w:pPr>
        <w:spacing w:after="140"/>
        <w:ind w:left="288"/>
      </w:pPr>
      <w:r>
        <w:t>IRB/FDA consideration: Usually the primary IRB issues are data confidentiality, validity, bias, and third-party processing rather than medical-device use, unless the research is specifically validating the model for a medical-device purpose.</w:t>
      </w:r>
    </w:p>
    <w:p w14:paraId="7A718885" w14:textId="77777777" w:rsidR="00E95B5A" w:rsidRDefault="00FB24B5">
      <w:pPr>
        <w:pStyle w:val="Heading1"/>
      </w:pPr>
      <w:r>
        <w:t>12. Key Regulatory References</w:t>
      </w:r>
    </w:p>
    <w:p w14:paraId="708F4DAD" w14:textId="46259EE0" w:rsidR="00E95B5A" w:rsidRDefault="00FB24B5">
      <w:pPr>
        <w:pStyle w:val="ListBullet"/>
      </w:pPr>
      <w:hyperlink r:id="rId8" w:history="1">
        <w:r w:rsidRPr="007339E0">
          <w:rPr>
            <w:rStyle w:val="Hyperlink"/>
            <w:b/>
          </w:rPr>
          <w:t>FDA, General Wellness: Policy for Low Risk Devices (Final Guidance, January 2026)</w:t>
        </w:r>
      </w:hyperlink>
      <w:r>
        <w:br/>
      </w:r>
    </w:p>
    <w:p w14:paraId="44A3CD53" w14:textId="26E6EAD5" w:rsidR="00E95B5A" w:rsidRDefault="00FB24B5">
      <w:pPr>
        <w:pStyle w:val="ListBullet"/>
      </w:pPr>
      <w:hyperlink r:id="rId9" w:history="1">
        <w:r w:rsidRPr="007339E0">
          <w:rPr>
            <w:rStyle w:val="Hyperlink"/>
            <w:b/>
          </w:rPr>
          <w:t>FDA, How to Determine if Your Product is a Medical Device</w:t>
        </w:r>
      </w:hyperlink>
      <w:r>
        <w:br/>
      </w:r>
    </w:p>
    <w:p w14:paraId="5B08BD25" w14:textId="47269C1D" w:rsidR="00E95B5A" w:rsidRDefault="00FB24B5">
      <w:pPr>
        <w:pStyle w:val="ListBullet"/>
      </w:pPr>
      <w:hyperlink r:id="rId10" w:history="1">
        <w:r w:rsidRPr="007339E0">
          <w:rPr>
            <w:rStyle w:val="Hyperlink"/>
            <w:b/>
          </w:rPr>
          <w:t>FDA, Software as a Medical Device (SaMD)</w:t>
        </w:r>
      </w:hyperlink>
      <w:r>
        <w:br/>
      </w:r>
    </w:p>
    <w:p w14:paraId="794D2608" w14:textId="7B2EAD88" w:rsidR="00E95B5A" w:rsidRDefault="00FB24B5">
      <w:pPr>
        <w:pStyle w:val="ListBullet"/>
      </w:pPr>
      <w:hyperlink r:id="rId11" w:history="1">
        <w:r w:rsidRPr="007339E0">
          <w:rPr>
            <w:rStyle w:val="Hyperlink"/>
            <w:b/>
          </w:rPr>
          <w:t>FDA, Policy for Device Software Functions and Mobile Medical Applications</w:t>
        </w:r>
        <w:r w:rsidRPr="007339E0">
          <w:rPr>
            <w:rStyle w:val="Hyperlink"/>
          </w:rPr>
          <w:br/>
        </w:r>
      </w:hyperlink>
    </w:p>
    <w:p w14:paraId="1FB8E8D6" w14:textId="07D8623B" w:rsidR="00E95B5A" w:rsidRPr="004C24CC" w:rsidRDefault="004C24CC">
      <w:pPr>
        <w:pStyle w:val="ListBullet"/>
        <w:rPr>
          <w:rStyle w:val="Hyperlink"/>
        </w:rPr>
      </w:pPr>
      <w:r>
        <w:rPr>
          <w:b/>
        </w:rPr>
        <w:fldChar w:fldCharType="begin"/>
      </w:r>
      <w:r>
        <w:rPr>
          <w:b/>
        </w:rPr>
        <w:instrText>HYPERLINK "https://www.fda.gov/regulatory-information/search-fda-guidance-documents/clinical-decision-support-software"</w:instrText>
      </w:r>
      <w:r>
        <w:rPr>
          <w:b/>
        </w:rPr>
      </w:r>
      <w:r>
        <w:rPr>
          <w:b/>
        </w:rPr>
        <w:fldChar w:fldCharType="separate"/>
      </w:r>
      <w:r w:rsidR="00FB24B5" w:rsidRPr="004C24CC">
        <w:rPr>
          <w:rStyle w:val="Hyperlink"/>
          <w:b/>
        </w:rPr>
        <w:t>FDA, Clinical Decision Support Software (Final Guidance, January 2026)</w:t>
      </w:r>
      <w:r w:rsidR="00FB24B5" w:rsidRPr="004C24CC">
        <w:rPr>
          <w:rStyle w:val="Hyperlink"/>
        </w:rPr>
        <w:br/>
      </w:r>
    </w:p>
    <w:p w14:paraId="13C90AD3" w14:textId="764AAC9E" w:rsidR="00E95B5A" w:rsidRDefault="004C24CC">
      <w:pPr>
        <w:pStyle w:val="ListBullet"/>
      </w:pPr>
      <w:r>
        <w:rPr>
          <w:b/>
        </w:rPr>
        <w:fldChar w:fldCharType="end"/>
      </w:r>
      <w:hyperlink r:id="rId12" w:history="1">
        <w:r w:rsidR="00FB24B5" w:rsidRPr="007339E0">
          <w:rPr>
            <w:rStyle w:val="Hyperlink"/>
            <w:b/>
          </w:rPr>
          <w:t>FDA, Significant Risk and Nonsignificant Risk Medical Device Studies</w:t>
        </w:r>
        <w:r w:rsidR="00FB24B5" w:rsidRPr="007339E0">
          <w:rPr>
            <w:rStyle w:val="Hyperlink"/>
          </w:rPr>
          <w:br/>
        </w:r>
      </w:hyperlink>
    </w:p>
    <w:p w14:paraId="22B0F328" w14:textId="3B56044C" w:rsidR="00E95B5A" w:rsidRDefault="00FB24B5">
      <w:pPr>
        <w:pStyle w:val="ListBullet"/>
      </w:pPr>
      <w:hyperlink r:id="rId13" w:history="1">
        <w:r w:rsidRPr="007339E0">
          <w:rPr>
            <w:rStyle w:val="Hyperlink"/>
            <w:b/>
          </w:rPr>
          <w:t>FDA, Investigational Device Exemption (IDE)</w:t>
        </w:r>
      </w:hyperlink>
      <w:r>
        <w:br/>
      </w:r>
    </w:p>
    <w:p w14:paraId="796D0957" w14:textId="17380C34" w:rsidR="00E95B5A" w:rsidRDefault="00FB24B5">
      <w:pPr>
        <w:pStyle w:val="ListBullet"/>
      </w:pPr>
      <w:hyperlink r:id="rId14" w:history="1">
        <w:r w:rsidRPr="007339E0">
          <w:rPr>
            <w:rStyle w:val="Hyperlink"/>
            <w:b/>
          </w:rPr>
          <w:t>FDA, Artificial Intelligence-Enabled Device Software Functions: Lifecycle Management and Marketing Submission Recommendations (Draft Guidance, January 2025)</w:t>
        </w:r>
      </w:hyperlink>
      <w:r>
        <w:br/>
      </w:r>
    </w:p>
    <w:p w14:paraId="670C3734" w14:textId="0BF9FF00" w:rsidR="00E95B5A" w:rsidRDefault="00FB24B5">
      <w:pPr>
        <w:pStyle w:val="ListBullet"/>
      </w:pPr>
      <w:hyperlink r:id="rId15" w:history="1">
        <w:r w:rsidRPr="007339E0">
          <w:rPr>
            <w:rStyle w:val="Hyperlink"/>
            <w:b/>
          </w:rPr>
          <w:t>FDA, Predetermined Change Control Plan for Artificial Intelligence-Enabled Device Software Functions (Final Guidance, August 2025)</w:t>
        </w:r>
      </w:hyperlink>
      <w:r>
        <w:br/>
      </w:r>
    </w:p>
    <w:p w14:paraId="5AAEB59B" w14:textId="337BDCE9" w:rsidR="00E95B5A" w:rsidRDefault="00FB24B5">
      <w:pPr>
        <w:pStyle w:val="ListBullet"/>
      </w:pPr>
      <w:hyperlink r:id="rId16" w:history="1">
        <w:r w:rsidRPr="007339E0">
          <w:rPr>
            <w:rStyle w:val="Hyperlink"/>
            <w:b/>
          </w:rPr>
          <w:t>HHS/OHRP, 45 CFR Part 46 — Protection of Human Subjects</w:t>
        </w:r>
      </w:hyperlink>
      <w:r>
        <w:br/>
      </w:r>
    </w:p>
    <w:sectPr w:rsidR="00E95B5A" w:rsidSect="00034616">
      <w:footerReference w:type="default" r:id="rId17"/>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8C35" w14:textId="77777777" w:rsidR="002D77BA" w:rsidRDefault="002D77BA">
      <w:pPr>
        <w:spacing w:after="0" w:line="240" w:lineRule="auto"/>
      </w:pPr>
      <w:r>
        <w:separator/>
      </w:r>
    </w:p>
  </w:endnote>
  <w:endnote w:type="continuationSeparator" w:id="0">
    <w:p w14:paraId="22AD4C3A" w14:textId="77777777" w:rsidR="002D77BA" w:rsidRDefault="002D7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A8240" w14:textId="051CB00C" w:rsidR="00E95B5A" w:rsidRDefault="00FB24B5">
    <w:pPr>
      <w:pStyle w:val="Footer"/>
      <w:jc w:val="center"/>
    </w:pPr>
    <w:r>
      <w:rPr>
        <w:color w:val="808080"/>
        <w:sz w:val="16"/>
      </w:rPr>
      <w:t xml:space="preserve">Guidance — AI in Human Subjects Research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DB7B" w14:textId="77777777" w:rsidR="002D77BA" w:rsidRDefault="002D77BA">
      <w:pPr>
        <w:spacing w:after="0" w:line="240" w:lineRule="auto"/>
      </w:pPr>
      <w:r>
        <w:separator/>
      </w:r>
    </w:p>
  </w:footnote>
  <w:footnote w:type="continuationSeparator" w:id="0">
    <w:p w14:paraId="243A65F0" w14:textId="77777777" w:rsidR="002D77BA" w:rsidRDefault="002D77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2087924">
    <w:abstractNumId w:val="8"/>
  </w:num>
  <w:num w:numId="2" w16cid:durableId="823743642">
    <w:abstractNumId w:val="6"/>
  </w:num>
  <w:num w:numId="3" w16cid:durableId="1156797884">
    <w:abstractNumId w:val="5"/>
  </w:num>
  <w:num w:numId="4" w16cid:durableId="793065439">
    <w:abstractNumId w:val="4"/>
  </w:num>
  <w:num w:numId="5" w16cid:durableId="844515489">
    <w:abstractNumId w:val="7"/>
  </w:num>
  <w:num w:numId="6" w16cid:durableId="1191795393">
    <w:abstractNumId w:val="3"/>
  </w:num>
  <w:num w:numId="7" w16cid:durableId="366180268">
    <w:abstractNumId w:val="2"/>
  </w:num>
  <w:num w:numId="8" w16cid:durableId="1499232812">
    <w:abstractNumId w:val="1"/>
  </w:num>
  <w:num w:numId="9" w16cid:durableId="722221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D77BA"/>
    <w:rsid w:val="00326F90"/>
    <w:rsid w:val="003C75D8"/>
    <w:rsid w:val="004C24CC"/>
    <w:rsid w:val="007339E0"/>
    <w:rsid w:val="00A71DD4"/>
    <w:rsid w:val="00AA1D8D"/>
    <w:rsid w:val="00B45084"/>
    <w:rsid w:val="00B47730"/>
    <w:rsid w:val="00C216FC"/>
    <w:rsid w:val="00C23C4E"/>
    <w:rsid w:val="00CB0664"/>
    <w:rsid w:val="00E95B5A"/>
    <w:rsid w:val="00F04B65"/>
    <w:rsid w:val="00F74AA5"/>
    <w:rsid w:val="00FB24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C165DA"/>
  <w14:defaultImageDpi w14:val="300"/>
  <w15:docId w15:val="{06ADFD5B-7546-4AAF-A28B-45B8DB49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04040"/>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339E0"/>
    <w:rPr>
      <w:color w:val="0000FF" w:themeColor="hyperlink"/>
      <w:u w:val="single"/>
    </w:rPr>
  </w:style>
  <w:style w:type="character" w:styleId="UnresolvedMention">
    <w:name w:val="Unresolved Mention"/>
    <w:basedOn w:val="DefaultParagraphFont"/>
    <w:uiPriority w:val="99"/>
    <w:semiHidden/>
    <w:unhideWhenUsed/>
    <w:rsid w:val="007339E0"/>
    <w:rPr>
      <w:color w:val="605E5C"/>
      <w:shd w:val="clear" w:color="auto" w:fill="E1DFDD"/>
    </w:rPr>
  </w:style>
  <w:style w:type="character" w:styleId="FollowedHyperlink">
    <w:name w:val="FollowedHyperlink"/>
    <w:basedOn w:val="DefaultParagraphFont"/>
    <w:uiPriority w:val="99"/>
    <w:semiHidden/>
    <w:unhideWhenUsed/>
    <w:rsid w:val="004C24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da.gov/regulatory-information/search-fda-guidance-documents/general-wellness-policy-low-risk-devices" TargetMode="External"/><Relationship Id="rId13" Type="http://schemas.openxmlformats.org/officeDocument/2006/relationships/hyperlink" Target="https://www.fda.gov/medical-devices/premarket-submissions-selecting-and-preparing-correct-submission/investigational-device-exemption-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da.gov/regulatory-information/search-fda-guidance-documents/significant-risk-and-nonsignificant-risk-medical-device-stud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hs.gov/ohrp/regulations-and-policy/regulations/common-rule/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regulatory-information/search-fda-guidance-documents/policy-device-software-functions-and-mobile-medical-applications" TargetMode="External"/><Relationship Id="rId5" Type="http://schemas.openxmlformats.org/officeDocument/2006/relationships/webSettings" Target="webSettings.xml"/><Relationship Id="rId15" Type="http://schemas.openxmlformats.org/officeDocument/2006/relationships/hyperlink" Target="https://www.fda.gov/regulatory-information/search-fda-guidance-documents/marketing-submission-recommendations-predetermined-change-control-plan-artificial-intelligence" TargetMode="External"/><Relationship Id="rId10" Type="http://schemas.openxmlformats.org/officeDocument/2006/relationships/hyperlink" Target="https://www.fda.gov/medical-devices/digital-health-center-excellence/software-medical-device-sam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da.gov/medical-devices/classify-your-medical-device/how-determine-if-your-product-medical-device" TargetMode="External"/><Relationship Id="rId14" Type="http://schemas.openxmlformats.org/officeDocument/2006/relationships/hyperlink" Target="https://www.fda.gov/regulatory-information/search-fda-guidance-documents/artificial-intelligence-enabled-device-software-functions-lifecycle-management-and-mark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3509</Words>
  <Characters>20006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Researcher Guidance: AI in Human Subjects Research</dc:title>
  <dc:subject>General wellness products, medical devices, and Software as a Medical Device (SaMD)</dc:subject>
  <dc:creator>python-docx</dc:creator>
  <cp:keywords/>
  <dc:description>generated by python-docx</dc:description>
  <cp:lastModifiedBy>Sousa, Emily</cp:lastModifiedBy>
  <cp:revision>2</cp:revision>
  <dcterms:created xsi:type="dcterms:W3CDTF">2026-08-10T17:51:00Z</dcterms:created>
  <dcterms:modified xsi:type="dcterms:W3CDTF">2026-08-10T17:51:00Z</dcterms:modified>
  <cp:category/>
</cp:coreProperties>
</file>