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D48A" w14:textId="77777777" w:rsidR="00657B3E" w:rsidRDefault="00657B3E" w:rsidP="00657B3E">
      <w:pPr>
        <w:pStyle w:val="SOPLevel1"/>
      </w:pPr>
      <w:r>
        <w:t>1. SCOPE AND APPLICABILITY</w:t>
      </w:r>
    </w:p>
    <w:p w14:paraId="1B4C842F" w14:textId="77777777" w:rsidR="00657B3E" w:rsidRPr="0070719C" w:rsidRDefault="00657B3E" w:rsidP="00657B3E">
      <w:pPr>
        <w:pStyle w:val="SOPLevel2"/>
      </w:pPr>
      <w:r w:rsidRPr="0070719C">
        <w:t>This SOP establishes the process the IRB follows to determine whether a device study is classified as Significant Risk (SR) or Nonsignificant Risk (NSR) in accordance with FDA regulations.</w:t>
      </w:r>
    </w:p>
    <w:p w14:paraId="6177AE94" w14:textId="141D12F9" w:rsidR="00657B3E" w:rsidRPr="0070719C" w:rsidRDefault="00657B3E" w:rsidP="00657B3E">
      <w:pPr>
        <w:pStyle w:val="SOPLevel2"/>
      </w:pPr>
      <w:r w:rsidRPr="0070719C">
        <w:t xml:space="preserve">This procedure applies to all human </w:t>
      </w:r>
      <w:proofErr w:type="gramStart"/>
      <w:r w:rsidRPr="0070719C">
        <w:t>subjects</w:t>
      </w:r>
      <w:proofErr w:type="gramEnd"/>
      <w:r w:rsidRPr="0070719C">
        <w:t xml:space="preserve"> research involving </w:t>
      </w:r>
      <w:r w:rsidR="0080455A">
        <w:t>investigational medical devices</w:t>
      </w:r>
      <w:r w:rsidRPr="0070719C">
        <w:t xml:space="preserve"> reviewed by the [Organization’s] IRB under FDA jurisdiction.</w:t>
      </w:r>
    </w:p>
    <w:p w14:paraId="477143C0" w14:textId="77777777" w:rsidR="00657B3E" w:rsidRPr="0070719C" w:rsidRDefault="00657B3E" w:rsidP="00657B3E">
      <w:pPr>
        <w:pStyle w:val="SOPLevel2"/>
      </w:pPr>
      <w:r w:rsidRPr="0070719C">
        <w:t>This procedure begins when a device-related study submission is received by the IRB and ends when the IRB issues a documented SR/NSR determination and identifies the appropriate review pathway.</w:t>
      </w:r>
    </w:p>
    <w:p w14:paraId="5F40EA60" w14:textId="77777777" w:rsidR="00657B3E" w:rsidRPr="0070719C" w:rsidRDefault="00657B3E" w:rsidP="00657B3E">
      <w:pPr>
        <w:pStyle w:val="SOPLevel2"/>
      </w:pPr>
      <w:r w:rsidRPr="0070719C">
        <w:t>This SOP does not apply to studies that qualify for an IDE exemption under 21 CFR 812.2(c), including consumer preference testing, veterinary/animal device studies, or diagnostic devices that meet FDA exemption criteria.</w:t>
      </w:r>
    </w:p>
    <w:p w14:paraId="586C459B" w14:textId="77777777" w:rsidR="00657B3E" w:rsidRPr="0070719C" w:rsidRDefault="00657B3E" w:rsidP="00657B3E">
      <w:pPr>
        <w:pStyle w:val="SOPLevel2"/>
      </w:pPr>
      <w:r w:rsidRPr="0070719C">
        <w:t>This SOP applies to both sponsor-initiated and investigator-initiated studies, including studies involving off-label use of approved/cleared devices when evaluated in a research context.</w:t>
      </w:r>
    </w:p>
    <w:p w14:paraId="4CB73841" w14:textId="77777777" w:rsidR="00657B3E" w:rsidRDefault="00657B3E" w:rsidP="00657B3E">
      <w:pPr>
        <w:pStyle w:val="SOPLevel1"/>
      </w:pPr>
      <w:r>
        <w:t>POLICY</w:t>
      </w:r>
    </w:p>
    <w:p w14:paraId="2BF5F380" w14:textId="77777777" w:rsidR="00657B3E" w:rsidRDefault="00657B3E" w:rsidP="00657B3E">
      <w:pPr>
        <w:pStyle w:val="SOPLevel2"/>
        <w:rPr>
          <w:b/>
        </w:rPr>
      </w:pPr>
      <w:r w:rsidRPr="0055343A">
        <w:t xml:space="preserve">The [Organization] ensures that all device studies under IRB review are assessed to determine whether they represent </w:t>
      </w:r>
      <w:r w:rsidRPr="0055343A">
        <w:rPr>
          <w:bCs/>
        </w:rPr>
        <w:t>Significant Risk (SR)</w:t>
      </w:r>
      <w:r w:rsidRPr="0055343A">
        <w:t xml:space="preserve"> or </w:t>
      </w:r>
      <w:r w:rsidRPr="0055343A">
        <w:rPr>
          <w:bCs/>
        </w:rPr>
        <w:t>Nonsignificant Risk (NSR)</w:t>
      </w:r>
      <w:r w:rsidRPr="0055343A">
        <w:t xml:space="preserve"> as defined by FDA regulations.</w:t>
      </w:r>
    </w:p>
    <w:p w14:paraId="158B3FD5" w14:textId="77777777" w:rsidR="00657B3E" w:rsidRDefault="00657B3E" w:rsidP="00657B3E">
      <w:pPr>
        <w:pStyle w:val="SOPLevel2"/>
        <w:rPr>
          <w:b/>
        </w:rPr>
      </w:pPr>
      <w:r w:rsidRPr="0055343A">
        <w:t xml:space="preserve">SR/NSR determinations are required </w:t>
      </w:r>
      <w:proofErr w:type="gramStart"/>
      <w:r w:rsidRPr="0055343A">
        <w:t>in order to</w:t>
      </w:r>
      <w:proofErr w:type="gramEnd"/>
      <w:r w:rsidRPr="0055343A">
        <w:t xml:space="preserve"> establish whether FDA approval of an Investigational Device Exemption (IDE) is necessary, or whether abbreviated IDE requirements apply.</w:t>
      </w:r>
    </w:p>
    <w:p w14:paraId="1A1C890D" w14:textId="03712FC4" w:rsidR="00657B3E" w:rsidRDefault="0080455A" w:rsidP="00657B3E">
      <w:pPr>
        <w:pStyle w:val="SOPLevel2"/>
        <w:rPr>
          <w:b/>
        </w:rPr>
      </w:pPr>
      <w:r>
        <w:t>For a device to be eligible for expedited review, it must be an NSR study and present no more than minimal risk to the subject (21 CFR 56.110).</w:t>
      </w:r>
    </w:p>
    <w:p w14:paraId="53C273D0" w14:textId="77777777" w:rsidR="00657B3E" w:rsidRDefault="00657B3E" w:rsidP="00657B3E">
      <w:pPr>
        <w:pStyle w:val="SOPLevel1"/>
      </w:pPr>
      <w:r w:rsidRPr="00ED1091">
        <w:t>RESPONSIBILITY</w:t>
      </w:r>
    </w:p>
    <w:p w14:paraId="5B9FA4C8" w14:textId="29024540" w:rsidR="00AA7491" w:rsidRPr="00AA7491" w:rsidRDefault="00AA7491" w:rsidP="00D55473">
      <w:pPr>
        <w:pStyle w:val="SOPLevel2"/>
      </w:pPr>
      <w:r w:rsidRPr="0098174E">
        <w:rPr>
          <w:b/>
          <w:bCs/>
        </w:rPr>
        <w:t>FDA</w:t>
      </w:r>
      <w:r w:rsidRPr="00AA7491">
        <w:t>:</w:t>
      </w:r>
    </w:p>
    <w:p w14:paraId="16817BA1" w14:textId="6CC7A189" w:rsidR="00AA7491" w:rsidRPr="00AA7491" w:rsidRDefault="00AA7491" w:rsidP="00C45E42">
      <w:pPr>
        <w:pStyle w:val="SOPLevel3"/>
      </w:pPr>
      <w:r w:rsidRPr="00AA7491">
        <w:t>Has the ultimate legal authority to decide whether a device study is SR or NSR.</w:t>
      </w:r>
    </w:p>
    <w:p w14:paraId="00708358" w14:textId="6672B28E" w:rsidR="00AA7491" w:rsidRPr="00AA7491" w:rsidRDefault="00AA7491" w:rsidP="00C45E42">
      <w:pPr>
        <w:pStyle w:val="SOPLevel3"/>
      </w:pPr>
      <w:r w:rsidRPr="00AA7491">
        <w:t>If a sponsor or investigator submits the protocol to FDA (via an IDE application or an informal request), FDA’s determination governs.</w:t>
      </w:r>
    </w:p>
    <w:p w14:paraId="776B6EC1" w14:textId="235635B0" w:rsidR="00AA7491" w:rsidRPr="00AA7491" w:rsidRDefault="00AA7491" w:rsidP="00D55473">
      <w:pPr>
        <w:pStyle w:val="SOPLevel2"/>
      </w:pPr>
      <w:r w:rsidRPr="0098174E">
        <w:rPr>
          <w:b/>
          <w:bCs/>
        </w:rPr>
        <w:t>IRB</w:t>
      </w:r>
      <w:r w:rsidRPr="00AA7491">
        <w:t>:</w:t>
      </w:r>
    </w:p>
    <w:p w14:paraId="23F0090D" w14:textId="2C59E4A2" w:rsidR="00C45E42" w:rsidRDefault="00AA7491" w:rsidP="00C45E42">
      <w:pPr>
        <w:pStyle w:val="SOPLevel3"/>
      </w:pPr>
      <w:r w:rsidRPr="00AA7491">
        <w:t xml:space="preserve">If FDA has not </w:t>
      </w:r>
      <w:proofErr w:type="gramStart"/>
      <w:r w:rsidRPr="00AA7491">
        <w:t>made a determination</w:t>
      </w:r>
      <w:proofErr w:type="gramEnd"/>
      <w:r w:rsidRPr="00AA7491">
        <w:t xml:space="preserve">, the IRB is responsible for deciding whether the study is </w:t>
      </w:r>
      <w:r w:rsidR="00D31971">
        <w:t>SR</w:t>
      </w:r>
      <w:r w:rsidRPr="00AA7491">
        <w:t xml:space="preserve"> or NSR (21 CFR 812.66; FDA SR/NSR Guidance).</w:t>
      </w:r>
    </w:p>
    <w:p w14:paraId="54C35EFA" w14:textId="3854AFFB" w:rsidR="00AA7491" w:rsidRPr="00AA7491" w:rsidRDefault="00AA7491" w:rsidP="00D55473">
      <w:pPr>
        <w:pStyle w:val="SOPLevel3"/>
        <w:numPr>
          <w:ilvl w:val="2"/>
          <w:numId w:val="8"/>
        </w:numPr>
      </w:pPr>
      <w:r w:rsidRPr="00AA7491">
        <w:t xml:space="preserve">The IRB must document the rationale for its decision in the </w:t>
      </w:r>
      <w:r w:rsidR="00524E4B">
        <w:t xml:space="preserve">meeting </w:t>
      </w:r>
      <w:r w:rsidRPr="00AA7491">
        <w:t>minutes or reviewer notes.</w:t>
      </w:r>
    </w:p>
    <w:p w14:paraId="661F7C5A" w14:textId="4735BD5E" w:rsidR="00AA7491" w:rsidRPr="0080455A" w:rsidRDefault="00AA7491" w:rsidP="008D610B">
      <w:pPr>
        <w:pStyle w:val="SOPLevel2"/>
        <w:rPr>
          <w:b/>
          <w:bCs/>
        </w:rPr>
      </w:pPr>
      <w:r w:rsidRPr="0080455A">
        <w:rPr>
          <w:b/>
          <w:bCs/>
        </w:rPr>
        <w:t>Sponsor/Investigator:</w:t>
      </w:r>
    </w:p>
    <w:p w14:paraId="60F2793C" w14:textId="556EEBC4" w:rsidR="00AA7491" w:rsidRPr="00AA7491" w:rsidRDefault="00AA7491" w:rsidP="00C45E42">
      <w:pPr>
        <w:pStyle w:val="SOPLevel3"/>
      </w:pPr>
      <w:r w:rsidRPr="00AA7491">
        <w:t>Must provide their initial risk assessment and justification to the IRB in the submission.</w:t>
      </w:r>
    </w:p>
    <w:p w14:paraId="3DEFBFC9" w14:textId="786D187E" w:rsidR="00E34674" w:rsidRPr="00E34674" w:rsidRDefault="00C071D4" w:rsidP="00AD16D0">
      <w:pPr>
        <w:pStyle w:val="SOPLevel3"/>
      </w:pPr>
      <w:r w:rsidRPr="00C071D4">
        <w:t>If the sponsor identifies a study as NSR, the sponsor</w:t>
      </w:r>
      <w:r>
        <w:t>/PI</w:t>
      </w:r>
      <w:r w:rsidRPr="00C071D4">
        <w:t xml:space="preserve"> must provide the reviewing IRB an explanation of its determination (21 CFR 812.2(b)(1)(ii)) and should provide any other information that may help the IRB in evaluating the risk of the study. For example, a</w:t>
      </w:r>
      <w:r w:rsidR="00E34674">
        <w:t xml:space="preserve"> </w:t>
      </w:r>
      <w:r w:rsidR="00E34674" w:rsidRPr="00E34674">
        <w:t xml:space="preserve">description of the device, reports of prior investigations with the device, the proposed investigational plan, subject selection criteria, and other information the IRB may need. </w:t>
      </w:r>
    </w:p>
    <w:p w14:paraId="264DF058" w14:textId="3718C054" w:rsidR="00657B3E" w:rsidRPr="0080455A" w:rsidRDefault="0080455A" w:rsidP="00DF49EF">
      <w:pPr>
        <w:pStyle w:val="SOPLevel2"/>
        <w:rPr>
          <w:b/>
          <w:sz w:val="28"/>
        </w:rPr>
      </w:pPr>
      <w:r w:rsidRPr="0080455A">
        <w:t xml:space="preserve">The IRB Chair, a designated reviewer, or the convened IRB applies FDA criteria to determine whether a device study is </w:t>
      </w:r>
      <w:r>
        <w:t>NSR</w:t>
      </w:r>
      <w:r w:rsidRPr="0080455A">
        <w:t>, when the study is otherwise eligible for expedited review.</w:t>
      </w:r>
    </w:p>
    <w:p w14:paraId="035D56C4" w14:textId="3B28915F" w:rsidR="0080455A" w:rsidRPr="0080455A" w:rsidRDefault="0080455A" w:rsidP="00DF49EF">
      <w:pPr>
        <w:pStyle w:val="SOPLevel2"/>
        <w:rPr>
          <w:bCs/>
          <w:szCs w:val="14"/>
        </w:rPr>
      </w:pPr>
      <w:r w:rsidRPr="0080455A">
        <w:rPr>
          <w:bCs/>
          <w:szCs w:val="14"/>
        </w:rPr>
        <w:lastRenderedPageBreak/>
        <w:t xml:space="preserve">If the study is determined to be </w:t>
      </w:r>
      <w:r w:rsidR="005E2E27">
        <w:rPr>
          <w:bCs/>
          <w:szCs w:val="14"/>
        </w:rPr>
        <w:t>SR,</w:t>
      </w:r>
      <w:r w:rsidRPr="0080455A">
        <w:rPr>
          <w:bCs/>
          <w:szCs w:val="14"/>
        </w:rPr>
        <w:t xml:space="preserve"> that determination must be made by the convened IRB</w:t>
      </w:r>
      <w:r w:rsidR="005E2E27">
        <w:rPr>
          <w:bCs/>
          <w:szCs w:val="14"/>
        </w:rPr>
        <w:t xml:space="preserve">.  </w:t>
      </w:r>
      <w:r w:rsidRPr="0080455A">
        <w:rPr>
          <w:bCs/>
          <w:szCs w:val="14"/>
        </w:rPr>
        <w:t>SR device studies require full board review and FDA submission of an IDE.</w:t>
      </w:r>
    </w:p>
    <w:p w14:paraId="7D5017C4" w14:textId="77777777" w:rsidR="00657B3E" w:rsidRDefault="00657B3E" w:rsidP="00657B3E">
      <w:pPr>
        <w:pStyle w:val="SOPLevel1"/>
      </w:pPr>
      <w:r>
        <w:t>PROCEDURE</w:t>
      </w:r>
    </w:p>
    <w:p w14:paraId="3A35D32B" w14:textId="77777777" w:rsidR="00D357B6" w:rsidRPr="00D357B6" w:rsidRDefault="00657B3E" w:rsidP="00D357B6">
      <w:pPr>
        <w:pStyle w:val="SOPLevel2"/>
        <w:rPr>
          <w:b/>
          <w:bCs/>
        </w:rPr>
      </w:pPr>
      <w:r w:rsidRPr="00D357B6">
        <w:rPr>
          <w:b/>
          <w:bCs/>
        </w:rPr>
        <w:t>Submission Requirements</w:t>
      </w:r>
      <w:r w:rsidR="00C77DDA" w:rsidRPr="00D357B6">
        <w:rPr>
          <w:b/>
          <w:bCs/>
        </w:rPr>
        <w:t>:</w:t>
      </w:r>
    </w:p>
    <w:p w14:paraId="1D07EF3C" w14:textId="79AE9923" w:rsidR="0098174E" w:rsidRDefault="00657B3E" w:rsidP="00D357B6">
      <w:pPr>
        <w:pStyle w:val="SOPLevel3"/>
      </w:pPr>
      <w:r w:rsidRPr="003866A5">
        <w:t xml:space="preserve">The PI submits device information, risk assessment, regulatory status (approved/cleared, investigational, </w:t>
      </w:r>
      <w:proofErr w:type="gramStart"/>
      <w:r w:rsidRPr="003866A5">
        <w:t>off-label</w:t>
      </w:r>
      <w:proofErr w:type="gramEnd"/>
      <w:r w:rsidRPr="003866A5">
        <w:t>), prior human use (if any), and sponsor/FDA correspondence (if available).</w:t>
      </w:r>
    </w:p>
    <w:p w14:paraId="51C21DC9" w14:textId="5E9112BB" w:rsidR="004158DC" w:rsidRPr="004158DC" w:rsidRDefault="00657B3E" w:rsidP="00C77DDA">
      <w:pPr>
        <w:pStyle w:val="SOPLevel2"/>
        <w:spacing w:after="0"/>
      </w:pPr>
      <w:r w:rsidRPr="00485A26">
        <w:rPr>
          <w:b/>
          <w:bCs/>
        </w:rPr>
        <w:t>Initial Administrative Review</w:t>
      </w:r>
      <w:r w:rsidR="00C77DDA">
        <w:rPr>
          <w:b/>
          <w:bCs/>
        </w:rPr>
        <w:t>:</w:t>
      </w:r>
    </w:p>
    <w:p w14:paraId="2F457A07" w14:textId="4390AEBE" w:rsidR="004158DC" w:rsidRDefault="00657B3E" w:rsidP="004158DC">
      <w:pPr>
        <w:pStyle w:val="SOPLevel3"/>
      </w:pPr>
      <w:r w:rsidRPr="003866A5">
        <w:t>IRB staff confirm whether the device study qualifies for an IDE exemption under 21 CFR 812.2(c).</w:t>
      </w:r>
    </w:p>
    <w:p w14:paraId="70BA4210" w14:textId="3026F515" w:rsidR="00657B3E" w:rsidRDefault="00657B3E" w:rsidP="004158DC">
      <w:pPr>
        <w:pStyle w:val="SOPLevel3"/>
      </w:pPr>
      <w:r w:rsidRPr="003866A5">
        <w:t>If exempt, no further SR/NSR determination is required.</w:t>
      </w:r>
    </w:p>
    <w:p w14:paraId="22B29A2E" w14:textId="77777777" w:rsidR="0098174E" w:rsidRPr="003866A5" w:rsidRDefault="0098174E" w:rsidP="0098174E">
      <w:pPr>
        <w:pStyle w:val="SOPLevel2"/>
        <w:numPr>
          <w:ilvl w:val="0"/>
          <w:numId w:val="0"/>
        </w:numPr>
        <w:ind w:left="1152"/>
      </w:pPr>
    </w:p>
    <w:p w14:paraId="549F445A" w14:textId="35E99F4D" w:rsidR="004158DC" w:rsidRPr="004158DC" w:rsidRDefault="00657B3E" w:rsidP="00C77DDA">
      <w:pPr>
        <w:pStyle w:val="SOPLevel2"/>
        <w:spacing w:after="0"/>
      </w:pPr>
      <w:r w:rsidRPr="00485A26">
        <w:rPr>
          <w:b/>
        </w:rPr>
        <w:t>SR/NSR Determination</w:t>
      </w:r>
      <w:r w:rsidR="00C77DDA">
        <w:rPr>
          <w:b/>
        </w:rPr>
        <w:t>:</w:t>
      </w:r>
    </w:p>
    <w:p w14:paraId="068B7548" w14:textId="560C2625" w:rsidR="004158DC" w:rsidRDefault="00657B3E" w:rsidP="0027103F">
      <w:pPr>
        <w:pStyle w:val="SOPLevel3"/>
      </w:pPr>
      <w:r w:rsidRPr="003866A5">
        <w:t>If FDA has previously classified the device as SR or NSR, the IRB documents and adopts FDA’s determination.</w:t>
      </w:r>
    </w:p>
    <w:p w14:paraId="3485439E" w14:textId="1C2EB9F0" w:rsidR="00657B3E" w:rsidRPr="003866A5" w:rsidRDefault="00657B3E" w:rsidP="0027103F">
      <w:pPr>
        <w:pStyle w:val="SOPLevel3"/>
      </w:pPr>
      <w:r w:rsidRPr="003866A5">
        <w:t xml:space="preserve">If no FDA determination exists, the IRB evaluates the study using 21 CFR 812.3(m) </w:t>
      </w:r>
      <w:r w:rsidR="00852979">
        <w:t xml:space="preserve">significant risk </w:t>
      </w:r>
      <w:r w:rsidRPr="003866A5">
        <w:t>criteria:</w:t>
      </w:r>
    </w:p>
    <w:p w14:paraId="3F11EE5D" w14:textId="09D7C969" w:rsidR="00B675A8" w:rsidRDefault="00B675A8" w:rsidP="00B675A8">
      <w:pPr>
        <w:pStyle w:val="SOPLevel3"/>
        <w:numPr>
          <w:ilvl w:val="0"/>
          <w:numId w:val="10"/>
        </w:numPr>
      </w:pPr>
      <w:proofErr w:type="gramStart"/>
      <w:r>
        <w:t>Is</w:t>
      </w:r>
      <w:proofErr w:type="gramEnd"/>
      <w:r>
        <w:t xml:space="preserve"> intended as an implant and presents a potential for serious risk to </w:t>
      </w:r>
      <w:proofErr w:type="gramStart"/>
      <w:r>
        <w:t>the health</w:t>
      </w:r>
      <w:proofErr w:type="gramEnd"/>
      <w:r>
        <w:t xml:space="preserve">, safety, or welfare of a </w:t>
      </w:r>
      <w:proofErr w:type="gramStart"/>
      <w:r>
        <w:t>subject;</w:t>
      </w:r>
      <w:proofErr w:type="gramEnd"/>
    </w:p>
    <w:p w14:paraId="3FC222D8" w14:textId="2FE028DC" w:rsidR="00B675A8" w:rsidRDefault="00B675A8" w:rsidP="00377D70">
      <w:pPr>
        <w:pStyle w:val="SOPLevel3"/>
        <w:numPr>
          <w:ilvl w:val="0"/>
          <w:numId w:val="10"/>
        </w:numPr>
      </w:pPr>
      <w:proofErr w:type="gramStart"/>
      <w:r>
        <w:t>Is</w:t>
      </w:r>
      <w:proofErr w:type="gramEnd"/>
      <w:r>
        <w:t xml:space="preserve"> purported or represented to be </w:t>
      </w:r>
      <w:proofErr w:type="gramStart"/>
      <w:r>
        <w:t>for</w:t>
      </w:r>
      <w:proofErr w:type="gramEnd"/>
      <w:r>
        <w:t xml:space="preserve"> </w:t>
      </w:r>
      <w:proofErr w:type="gramStart"/>
      <w:r>
        <w:t>a use</w:t>
      </w:r>
      <w:proofErr w:type="gramEnd"/>
      <w:r>
        <w:t xml:space="preserve"> in supporting or sustaining human life and presents a potential for serious risk to the health, safety, or welfare of a </w:t>
      </w:r>
      <w:proofErr w:type="gramStart"/>
      <w:r>
        <w:t>subject;</w:t>
      </w:r>
      <w:proofErr w:type="gramEnd"/>
    </w:p>
    <w:p w14:paraId="6F48EA4B" w14:textId="00CF987A" w:rsidR="00B675A8" w:rsidRDefault="00B675A8" w:rsidP="00377D70">
      <w:pPr>
        <w:pStyle w:val="SOPLevel3"/>
        <w:numPr>
          <w:ilvl w:val="0"/>
          <w:numId w:val="10"/>
        </w:numPr>
      </w:pPr>
      <w:r>
        <w:t>Is for a use of substantial importance in diagnosing, curing, mitigating, or treating disease, or otherwise preventing impairment of human health and presents a potential for serious risk to the health, safety, or welfare of a subject; or</w:t>
      </w:r>
    </w:p>
    <w:p w14:paraId="450CBE5D" w14:textId="71B541E8" w:rsidR="00377D70" w:rsidRDefault="00B675A8" w:rsidP="007D6683">
      <w:pPr>
        <w:pStyle w:val="SOPLevel3"/>
        <w:numPr>
          <w:ilvl w:val="0"/>
          <w:numId w:val="10"/>
        </w:numPr>
      </w:pPr>
      <w:r>
        <w:t>Otherwise presents a potential for serious risk to the health, safety, or welfare of a subject.</w:t>
      </w:r>
    </w:p>
    <w:p w14:paraId="5C331C58" w14:textId="77777777" w:rsidR="004E2A42" w:rsidRDefault="004E2A42" w:rsidP="008B5496">
      <w:pPr>
        <w:pStyle w:val="SOPLevel3"/>
      </w:pPr>
      <w:r w:rsidRPr="004E2A42">
        <w:t>A determination of SR requires FDA IDE approval prior to IRB approval.</w:t>
      </w:r>
    </w:p>
    <w:p w14:paraId="633B6ED1" w14:textId="3C1A68CC" w:rsidR="00657B3E" w:rsidRPr="003866A5" w:rsidRDefault="00657B3E" w:rsidP="008B5496">
      <w:pPr>
        <w:pStyle w:val="SOPLevel3"/>
      </w:pPr>
      <w:r w:rsidRPr="003866A5">
        <w:t>A determination of NSR requires compliance with abbreviated IDE requirements under 21 CFR 812.2(b).</w:t>
      </w:r>
    </w:p>
    <w:p w14:paraId="229BA551" w14:textId="43693380" w:rsidR="0027103F" w:rsidRPr="0027103F" w:rsidRDefault="00657B3E" w:rsidP="00C77DDA">
      <w:pPr>
        <w:pStyle w:val="SOPLevel2"/>
        <w:spacing w:after="0"/>
      </w:pPr>
      <w:r w:rsidRPr="00A54832">
        <w:rPr>
          <w:b/>
        </w:rPr>
        <w:t>Review Pathway</w:t>
      </w:r>
      <w:r w:rsidR="00C77DDA">
        <w:rPr>
          <w:b/>
        </w:rPr>
        <w:t>:</w:t>
      </w:r>
    </w:p>
    <w:p w14:paraId="62F0F8F8" w14:textId="77777777" w:rsidR="0027103F" w:rsidRDefault="00657B3E" w:rsidP="0027103F">
      <w:pPr>
        <w:pStyle w:val="SOPLevel3"/>
      </w:pPr>
      <w:r w:rsidRPr="003866A5">
        <w:t>SR studies → reviewed by convened IRB; FDA IDE approval required before enrollment.</w:t>
      </w:r>
    </w:p>
    <w:p w14:paraId="7A1743DB" w14:textId="18B0957F" w:rsidR="00657B3E" w:rsidRPr="003866A5" w:rsidRDefault="00657B3E" w:rsidP="0027103F">
      <w:pPr>
        <w:pStyle w:val="SOPLevel3"/>
      </w:pPr>
      <w:r w:rsidRPr="003866A5">
        <w:t>NSR studies → may be reviewed by convened IRB or by expedited procedures if:</w:t>
      </w:r>
    </w:p>
    <w:p w14:paraId="69931308" w14:textId="77777777" w:rsidR="00657B3E" w:rsidRPr="003866A5" w:rsidRDefault="00657B3E" w:rsidP="00C77DDA">
      <w:pPr>
        <w:pStyle w:val="SOPLevel1"/>
        <w:numPr>
          <w:ilvl w:val="0"/>
          <w:numId w:val="2"/>
        </w:numPr>
        <w:spacing w:before="0" w:after="0"/>
        <w:ind w:left="2430"/>
        <w:rPr>
          <w:b w:val="0"/>
          <w:sz w:val="20"/>
        </w:rPr>
      </w:pPr>
      <w:r w:rsidRPr="003866A5">
        <w:rPr>
          <w:b w:val="0"/>
          <w:sz w:val="20"/>
        </w:rPr>
        <w:t>The study presents no more than minimal risk; and</w:t>
      </w:r>
    </w:p>
    <w:p w14:paraId="4A4DF817" w14:textId="57A55C6A" w:rsidR="00657B3E" w:rsidRPr="003866A5" w:rsidRDefault="00657B3E" w:rsidP="00C77DDA">
      <w:pPr>
        <w:pStyle w:val="SOPLevel1"/>
        <w:numPr>
          <w:ilvl w:val="0"/>
          <w:numId w:val="2"/>
        </w:numPr>
        <w:spacing w:before="0" w:after="0"/>
        <w:ind w:left="2430"/>
        <w:rPr>
          <w:b w:val="0"/>
          <w:sz w:val="20"/>
        </w:rPr>
      </w:pPr>
      <w:r w:rsidRPr="003866A5">
        <w:rPr>
          <w:b w:val="0"/>
          <w:sz w:val="20"/>
        </w:rPr>
        <w:t xml:space="preserve">It qualifies under Expedited Review </w:t>
      </w:r>
      <w:r w:rsidR="008412B6">
        <w:rPr>
          <w:b w:val="0"/>
          <w:sz w:val="20"/>
        </w:rPr>
        <w:t>(</w:t>
      </w:r>
      <w:r w:rsidRPr="003866A5">
        <w:rPr>
          <w:b w:val="0"/>
          <w:sz w:val="20"/>
        </w:rPr>
        <w:t>21 CFR 56.110</w:t>
      </w:r>
      <w:r w:rsidR="008412B6">
        <w:rPr>
          <w:b w:val="0"/>
          <w:sz w:val="20"/>
        </w:rPr>
        <w:t>)</w:t>
      </w:r>
      <w:r w:rsidRPr="003866A5">
        <w:rPr>
          <w:b w:val="0"/>
          <w:sz w:val="20"/>
        </w:rPr>
        <w:t>.</w:t>
      </w:r>
    </w:p>
    <w:p w14:paraId="0CFA97B9" w14:textId="2D12C054" w:rsidR="0027103F" w:rsidRPr="0027103F" w:rsidRDefault="00657B3E" w:rsidP="00C77DDA">
      <w:pPr>
        <w:pStyle w:val="SOPLevel2"/>
        <w:spacing w:after="0"/>
      </w:pPr>
      <w:r w:rsidRPr="00524A6C">
        <w:rPr>
          <w:b/>
        </w:rPr>
        <w:t>Documentation</w:t>
      </w:r>
      <w:r w:rsidR="00C77DDA">
        <w:rPr>
          <w:b/>
        </w:rPr>
        <w:t>:</w:t>
      </w:r>
    </w:p>
    <w:p w14:paraId="29A06677" w14:textId="70ECF357" w:rsidR="0027103F" w:rsidRDefault="00657B3E" w:rsidP="0027103F">
      <w:pPr>
        <w:pStyle w:val="SOPLevel3"/>
      </w:pPr>
      <w:r w:rsidRPr="003866A5">
        <w:t xml:space="preserve">The IRB records the SR/NSR determination and supporting rationale in minutes (convened review) or reviewer </w:t>
      </w:r>
      <w:r w:rsidR="008A650C">
        <w:t>checklist</w:t>
      </w:r>
      <w:r w:rsidRPr="003866A5">
        <w:t xml:space="preserve"> (expedited review).</w:t>
      </w:r>
    </w:p>
    <w:p w14:paraId="2C33708F" w14:textId="30DFF4FD" w:rsidR="00657B3E" w:rsidRDefault="00657B3E" w:rsidP="0027103F">
      <w:pPr>
        <w:pStyle w:val="SOPLevel3"/>
      </w:pPr>
      <w:r w:rsidRPr="003866A5">
        <w:t>Determinations are communicated to the PI in writing.</w:t>
      </w:r>
    </w:p>
    <w:p w14:paraId="446F22D6" w14:textId="77777777" w:rsidR="00C77DDA" w:rsidRPr="003866A5" w:rsidRDefault="00C77DDA" w:rsidP="00C77DDA">
      <w:pPr>
        <w:pStyle w:val="SOPLevel3"/>
        <w:numPr>
          <w:ilvl w:val="0"/>
          <w:numId w:val="0"/>
        </w:numPr>
        <w:ind w:left="2016"/>
      </w:pPr>
    </w:p>
    <w:p w14:paraId="4C71EE7F" w14:textId="77777777" w:rsidR="00657B3E" w:rsidRDefault="00657B3E" w:rsidP="00657B3E">
      <w:pPr>
        <w:pStyle w:val="SOPLevel1"/>
      </w:pPr>
      <w:r>
        <w:t>REFERENCES</w:t>
      </w:r>
    </w:p>
    <w:p w14:paraId="49D76217" w14:textId="77777777" w:rsidR="00657B3E" w:rsidRDefault="00657B3E" w:rsidP="00657B3E">
      <w:pPr>
        <w:pStyle w:val="SOPLevel2"/>
      </w:pPr>
      <w:r>
        <w:t>21 CFR 812.2(b) &amp; (c) – Abbreviated IDE requirements and exemptions</w:t>
      </w:r>
    </w:p>
    <w:p w14:paraId="66DAF208" w14:textId="77777777" w:rsidR="00657B3E" w:rsidRDefault="00657B3E" w:rsidP="00657B3E">
      <w:pPr>
        <w:pStyle w:val="SOPLevel2"/>
      </w:pPr>
      <w:r>
        <w:t>21 CFR 812.3(m) – Definition of Significant Risk device</w:t>
      </w:r>
    </w:p>
    <w:p w14:paraId="78840966" w14:textId="77777777" w:rsidR="00657B3E" w:rsidRDefault="00657B3E" w:rsidP="00657B3E">
      <w:pPr>
        <w:pStyle w:val="SOPLevel2"/>
      </w:pPr>
      <w:r>
        <w:t>21 CFR 812.20, 812.30 – IDE application and approval</w:t>
      </w:r>
    </w:p>
    <w:p w14:paraId="7BC6160E" w14:textId="4B053B11" w:rsidR="00BC6A7E" w:rsidRDefault="00657B3E" w:rsidP="001003CD">
      <w:pPr>
        <w:pStyle w:val="SOPLevel2"/>
      </w:pPr>
      <w:r>
        <w:lastRenderedPageBreak/>
        <w:t>21 CFR 56.110 – Expedited review procedures</w:t>
      </w:r>
    </w:p>
    <w:sectPr w:rsidR="00BC6A7E" w:rsidSect="00657B3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7787" w14:textId="77777777" w:rsidR="002732C8" w:rsidRDefault="002732C8" w:rsidP="009A5E0F">
      <w:pPr>
        <w:spacing w:after="0" w:line="240" w:lineRule="auto"/>
      </w:pPr>
      <w:r>
        <w:separator/>
      </w:r>
    </w:p>
  </w:endnote>
  <w:endnote w:type="continuationSeparator" w:id="0">
    <w:p w14:paraId="2BEA0695" w14:textId="77777777" w:rsidR="002732C8" w:rsidRDefault="002732C8" w:rsidP="009A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C28A" w14:textId="77777777" w:rsidR="007E1FE4" w:rsidRDefault="007E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5806" w14:textId="77777777" w:rsidR="007D6683" w:rsidRPr="00032764" w:rsidRDefault="007D6683" w:rsidP="00032764">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CD64" w14:textId="77777777" w:rsidR="007E1FE4" w:rsidRDefault="007E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3513" w14:textId="77777777" w:rsidR="002732C8" w:rsidRDefault="002732C8" w:rsidP="009A5E0F">
      <w:pPr>
        <w:spacing w:after="0" w:line="240" w:lineRule="auto"/>
      </w:pPr>
      <w:r>
        <w:separator/>
      </w:r>
    </w:p>
  </w:footnote>
  <w:footnote w:type="continuationSeparator" w:id="0">
    <w:p w14:paraId="0040E189" w14:textId="77777777" w:rsidR="002732C8" w:rsidRDefault="002732C8" w:rsidP="009A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DFE" w14:textId="77777777" w:rsidR="007E1FE4" w:rsidRDefault="007E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2160"/>
      <w:gridCol w:w="2728"/>
      <w:gridCol w:w="1489"/>
      <w:gridCol w:w="1489"/>
      <w:gridCol w:w="1489"/>
    </w:tblGrid>
    <w:tr w:rsidR="00EB2E4D" w:rsidRPr="0071612A" w14:paraId="6A9A557F" w14:textId="77777777" w:rsidTr="00650116">
      <w:trPr>
        <w:cantSplit/>
        <w:trHeight w:hRule="exact" w:val="720"/>
      </w:trPr>
      <w:tc>
        <w:tcPr>
          <w:tcW w:w="2160" w:type="dxa"/>
          <w:vMerge w:val="restart"/>
          <w:tcBorders>
            <w:top w:val="nil"/>
            <w:left w:val="nil"/>
            <w:right w:val="single" w:sz="4" w:space="0" w:color="auto"/>
          </w:tcBorders>
          <w:vAlign w:val="center"/>
          <w:hideMark/>
        </w:tcPr>
        <w:p w14:paraId="523027C4" w14:textId="362478A3" w:rsidR="00EB2E4D" w:rsidRPr="0071612A" w:rsidRDefault="00EB2E4D"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61966FE9" wp14:editId="73DA364C">
                <wp:extent cx="580787" cy="612250"/>
                <wp:effectExtent l="0" t="0" r="3810" b="0"/>
                <wp:docPr id="1" name="Picture 1" descr="UMass Lo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Lowell Logo"/>
                        <pic:cNvPicPr/>
                      </pic:nvPicPr>
                      <pic:blipFill>
                        <a:blip r:embed="rId1">
                          <a:extLst>
                            <a:ext uri="{28A0092B-C50C-407E-A947-70E740481C1C}">
                              <a14:useLocalDpi xmlns:a14="http://schemas.microsoft.com/office/drawing/2010/main" val="0"/>
                            </a:ext>
                          </a:extLst>
                        </a:blip>
                        <a:stretch>
                          <a:fillRect/>
                        </a:stretch>
                      </pic:blipFill>
                      <pic:spPr>
                        <a:xfrm>
                          <a:off x="0" y="0"/>
                          <a:ext cx="611459" cy="644584"/>
                        </a:xfrm>
                        <a:prstGeom prst="rect">
                          <a:avLst/>
                        </a:prstGeom>
                      </pic:spPr>
                    </pic:pic>
                  </a:graphicData>
                </a:graphic>
              </wp:inline>
            </w:drawing>
          </w:r>
        </w:p>
      </w:tc>
      <w:tc>
        <w:tcPr>
          <w:tcW w:w="7195" w:type="dxa"/>
          <w:gridSpan w:val="4"/>
          <w:tcBorders>
            <w:top w:val="single" w:sz="4" w:space="0" w:color="auto"/>
            <w:left w:val="single" w:sz="4" w:space="0" w:color="auto"/>
            <w:bottom w:val="single" w:sz="4" w:space="0" w:color="auto"/>
            <w:right w:val="single" w:sz="4" w:space="0" w:color="auto"/>
          </w:tcBorders>
          <w:vAlign w:val="center"/>
          <w:hideMark/>
        </w:tcPr>
        <w:p w14:paraId="1C725E5A" w14:textId="3E8B3F71" w:rsidR="00EB2E4D" w:rsidRPr="0071612A" w:rsidRDefault="00EB2E4D" w:rsidP="00725F88">
          <w:pPr>
            <w:rPr>
              <w:rFonts w:ascii="Arial" w:hAnsi="Arial" w:cs="Arial"/>
              <w:b/>
              <w:bCs/>
              <w:sz w:val="28"/>
              <w:szCs w:val="28"/>
            </w:rPr>
          </w:pPr>
          <w:r>
            <w:rPr>
              <w:rFonts w:ascii="Arial" w:hAnsi="Arial" w:cs="Arial"/>
              <w:b/>
              <w:bCs/>
              <w:sz w:val="28"/>
              <w:szCs w:val="28"/>
            </w:rPr>
            <w:t>SOP: Non-Significant Risk/Significant Risk Device</w:t>
          </w:r>
        </w:p>
      </w:tc>
    </w:tr>
    <w:tr w:rsidR="00346643" w:rsidRPr="0071612A" w14:paraId="7C1030E4" w14:textId="77777777" w:rsidTr="00250AB1">
      <w:trPr>
        <w:cantSplit/>
        <w:trHeight w:hRule="exact" w:val="216"/>
      </w:trPr>
      <w:tc>
        <w:tcPr>
          <w:tcW w:w="2160" w:type="dxa"/>
          <w:vMerge/>
          <w:tcBorders>
            <w:left w:val="nil"/>
            <w:right w:val="single" w:sz="4" w:space="0" w:color="auto"/>
          </w:tcBorders>
          <w:vAlign w:val="center"/>
          <w:hideMark/>
        </w:tcPr>
        <w:p w14:paraId="3DCEC8D2" w14:textId="073ED375" w:rsidR="00346643" w:rsidRPr="0071612A" w:rsidRDefault="00346643" w:rsidP="00725F88">
          <w:pPr>
            <w:rPr>
              <w:rFonts w:ascii="Arial" w:hAnsi="Arial" w:cs="Arial"/>
              <w:b/>
              <w:bCs/>
              <w:color w:val="FFFFFF" w:themeColor="background1"/>
            </w:rPr>
          </w:pPr>
        </w:p>
      </w:tc>
      <w:tc>
        <w:tcPr>
          <w:tcW w:w="2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AF868" w14:textId="77777777" w:rsidR="00346643" w:rsidRPr="0071612A" w:rsidRDefault="00346643" w:rsidP="00725F88">
          <w:pPr>
            <w:pStyle w:val="SOPTableHeader"/>
          </w:pPr>
          <w:r w:rsidRPr="0071612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878A2" w14:textId="77777777" w:rsidR="00346643" w:rsidRPr="0071612A" w:rsidRDefault="00346643" w:rsidP="00725F88">
          <w:pPr>
            <w:pStyle w:val="SOPTableHeader"/>
          </w:pPr>
          <w:r w:rsidRPr="0071612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8CA4E" w14:textId="77777777" w:rsidR="00346643" w:rsidRPr="0071612A" w:rsidRDefault="00346643" w:rsidP="00725F88">
          <w:pPr>
            <w:pStyle w:val="SOPTableHeader"/>
          </w:pPr>
          <w:r w:rsidRPr="0071612A">
            <w:t>Effective Date:</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5B1BC" w14:textId="77777777" w:rsidR="00346643" w:rsidRPr="0071612A" w:rsidRDefault="00346643" w:rsidP="00725F88">
          <w:pPr>
            <w:pStyle w:val="SOPTableHeader"/>
          </w:pPr>
          <w:r w:rsidRPr="0071612A">
            <w:t>Page:</w:t>
          </w:r>
        </w:p>
      </w:tc>
    </w:tr>
    <w:tr w:rsidR="00346643" w:rsidRPr="0071612A" w14:paraId="5D5DF144" w14:textId="77777777" w:rsidTr="00250AB1">
      <w:trPr>
        <w:cantSplit/>
        <w:trHeight w:hRule="exact" w:val="360"/>
      </w:trPr>
      <w:tc>
        <w:tcPr>
          <w:tcW w:w="2160" w:type="dxa"/>
          <w:vMerge/>
          <w:tcBorders>
            <w:left w:val="nil"/>
            <w:bottom w:val="nil"/>
            <w:right w:val="single" w:sz="4" w:space="0" w:color="auto"/>
          </w:tcBorders>
          <w:vAlign w:val="center"/>
          <w:hideMark/>
        </w:tcPr>
        <w:p w14:paraId="14309DFE" w14:textId="4637AF04" w:rsidR="00346643" w:rsidRPr="0071612A" w:rsidRDefault="00346643" w:rsidP="00725F88">
          <w:pPr>
            <w:rPr>
              <w:rFonts w:ascii="Arial" w:hAnsi="Arial" w:cs="Arial"/>
              <w:b/>
              <w:bCs/>
              <w:color w:val="FFFFFF" w:themeColor="background1"/>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2829DE95" w14:textId="77777777" w:rsidR="00346643" w:rsidRPr="0071612A" w:rsidRDefault="00346643" w:rsidP="00725F88">
          <w:pPr>
            <w:pStyle w:val="SOPTableItemBold"/>
          </w:pPr>
          <w:fldSimple w:instr=" SUBJECT   \* MERGEFORMAT ">
            <w:r>
              <w:t>HRP-150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694CD4A4" w14:textId="542BF576" w:rsidR="00346643" w:rsidRPr="0071612A" w:rsidRDefault="00346643" w:rsidP="00725F88">
          <w:pPr>
            <w:pStyle w:val="SOPTableItemBold"/>
          </w:pPr>
          <w:r>
            <w:t>2.0</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386819A" w14:textId="77777777" w:rsidR="00346643" w:rsidRPr="0071612A" w:rsidRDefault="00346643" w:rsidP="00174F44">
          <w:pPr>
            <w:pStyle w:val="SOPTableItemBold"/>
          </w:pPr>
          <w:r>
            <w:t>9/9/2025</w:t>
          </w:r>
          <w:fldSimple w:instr=" COMMENTS   \* MERGEFORMAT "/>
        </w:p>
      </w:tc>
      <w:tc>
        <w:tcPr>
          <w:tcW w:w="1489" w:type="dxa"/>
          <w:tcBorders>
            <w:top w:val="single" w:sz="4" w:space="0" w:color="auto"/>
            <w:left w:val="single" w:sz="4" w:space="0" w:color="auto"/>
            <w:bottom w:val="single" w:sz="4" w:space="0" w:color="auto"/>
            <w:right w:val="single" w:sz="4" w:space="0" w:color="auto"/>
          </w:tcBorders>
          <w:vAlign w:val="center"/>
          <w:hideMark/>
        </w:tcPr>
        <w:p w14:paraId="1A26CB9C" w14:textId="77777777" w:rsidR="00346643" w:rsidRPr="0071612A" w:rsidRDefault="00346643"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t>1</w:t>
          </w:r>
          <w:r w:rsidRPr="0071612A">
            <w:fldChar w:fldCharType="end"/>
          </w:r>
          <w:r w:rsidRPr="0071612A">
            <w:t xml:space="preserve"> of </w:t>
          </w:r>
          <w:fldSimple w:instr=" NUMPAGES  \* Arabic  \* MERGEFORMAT ">
            <w:r>
              <w:t>1</w:t>
            </w:r>
          </w:fldSimple>
        </w:p>
      </w:tc>
    </w:tr>
  </w:tbl>
  <w:p w14:paraId="77FDB67C"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5B4EABC1"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szCs w:val="2"/>
      </w:rPr>
    </w:pPr>
  </w:p>
  <w:p w14:paraId="741FFCED" w14:textId="77777777" w:rsidR="007D6683" w:rsidRPr="0071612A" w:rsidRDefault="007D6683" w:rsidP="00BE545B">
    <w:pPr>
      <w:tabs>
        <w:tab w:val="center" w:pos="4680"/>
        <w:tab w:val="right" w:pos="9360"/>
      </w:tabs>
      <w:spacing w:after="0" w:line="240" w:lineRule="auto"/>
      <w:rPr>
        <w:rFonts w:ascii="Calibri" w:eastAsia="Calibri" w:hAnsi="Calibri" w:cs="Times New Roman"/>
        <w:sz w:val="2"/>
      </w:rPr>
    </w:pPr>
  </w:p>
  <w:p w14:paraId="0A370CEF" w14:textId="77777777" w:rsidR="007D6683" w:rsidRPr="0071612A" w:rsidRDefault="007D6683" w:rsidP="00BE545B">
    <w:pPr>
      <w:pStyle w:val="Header"/>
      <w:rPr>
        <w:sz w:val="2"/>
      </w:rPr>
    </w:pPr>
  </w:p>
  <w:p w14:paraId="7CF7D19C" w14:textId="77777777" w:rsidR="007D6683" w:rsidRPr="00BE545B" w:rsidRDefault="007D6683" w:rsidP="00BE545B">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27FF" w14:textId="77777777" w:rsidR="007E1FE4" w:rsidRDefault="007E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310"/>
    <w:multiLevelType w:val="hybridMultilevel"/>
    <w:tmpl w:val="EC88B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964A23"/>
    <w:multiLevelType w:val="multilevel"/>
    <w:tmpl w:val="AC0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567B9"/>
    <w:multiLevelType w:val="multilevel"/>
    <w:tmpl w:val="27F2BF1A"/>
    <w:lvl w:ilvl="0">
      <w:start w:val="1"/>
      <w:numFmt w:val="decimal"/>
      <w:lvlText w:val="%1."/>
      <w:lvlJc w:val="left"/>
      <w:pPr>
        <w:ind w:left="576" w:hanging="576"/>
      </w:pPr>
      <w:rPr>
        <w:rFonts w:hint="default"/>
      </w:rPr>
    </w:lvl>
    <w:lvl w:ilvl="1">
      <w:start w:val="1"/>
      <w:numFmt w:val="decimal"/>
      <w:lvlText w:val="%1.%2."/>
      <w:lvlJc w:val="left"/>
      <w:pPr>
        <w:ind w:left="1152" w:hanging="576"/>
      </w:pPr>
      <w:rPr>
        <w:rFonts w:hint="default"/>
        <w:b w:val="0"/>
        <w:bCs/>
        <w:sz w:val="20"/>
        <w:szCs w:val="14"/>
      </w:rPr>
    </w:lvl>
    <w:lvl w:ilvl="2">
      <w:start w:val="1"/>
      <w:numFmt w:val="decimal"/>
      <w:lvlText w:val="%1.%2.%3."/>
      <w:lvlJc w:val="left"/>
      <w:pPr>
        <w:ind w:left="2016" w:hanging="864"/>
      </w:pPr>
      <w:rPr>
        <w:rFonts w:hint="default"/>
        <w:b w:val="0"/>
        <w:bCs/>
        <w:sz w:val="20"/>
        <w:szCs w:val="20"/>
      </w:rPr>
    </w:lvl>
    <w:lvl w:ilvl="3">
      <w:start w:val="1"/>
      <w:numFmt w:val="decimal"/>
      <w:lvlText w:val="%1.%2.%3.%4."/>
      <w:lvlJc w:val="left"/>
      <w:pPr>
        <w:tabs>
          <w:tab w:val="num" w:pos="2016"/>
        </w:tabs>
        <w:ind w:left="3168" w:hanging="1152"/>
      </w:pPr>
      <w:rPr>
        <w:rFonts w:hint="default"/>
      </w:rPr>
    </w:lvl>
    <w:lvl w:ilvl="4">
      <w:start w:val="1"/>
      <w:numFmt w:val="decimal"/>
      <w:lvlText w:val="%1.%2.%3.%4.%5."/>
      <w:lvlJc w:val="left"/>
      <w:pPr>
        <w:tabs>
          <w:tab w:val="num" w:pos="3168"/>
        </w:tabs>
        <w:ind w:left="4608" w:hanging="1440"/>
      </w:pPr>
      <w:rPr>
        <w:rFonts w:hint="default"/>
      </w:rPr>
    </w:lvl>
    <w:lvl w:ilvl="5">
      <w:start w:val="1"/>
      <w:numFmt w:val="decimal"/>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2C5"/>
    <w:multiLevelType w:val="multilevel"/>
    <w:tmpl w:val="EDEABCC6"/>
    <w:lvl w:ilvl="0">
      <w:start w:val="1"/>
      <w:numFmt w:val="decimal"/>
      <w:lvlText w:val="%1."/>
      <w:lvlJc w:val="left"/>
      <w:pPr>
        <w:ind w:left="576" w:hanging="576"/>
      </w:pPr>
      <w:rPr>
        <w:rFonts w:hint="default"/>
      </w:rPr>
    </w:lvl>
    <w:lvl w:ilvl="1">
      <w:start w:val="3"/>
      <w:numFmt w:val="decimal"/>
      <w:lvlText w:val="%1.%2."/>
      <w:lvlJc w:val="left"/>
      <w:pPr>
        <w:ind w:left="1152" w:hanging="576"/>
      </w:pPr>
      <w:rPr>
        <w:rFonts w:hint="default"/>
        <w:b w:val="0"/>
        <w:bCs/>
        <w:sz w:val="20"/>
        <w:szCs w:val="14"/>
      </w:rPr>
    </w:lvl>
    <w:lvl w:ilvl="2">
      <w:start w:val="1"/>
      <w:numFmt w:val="decimal"/>
      <w:lvlText w:val="%1.%2.%3."/>
      <w:lvlJc w:val="left"/>
      <w:pPr>
        <w:ind w:left="2016" w:hanging="864"/>
      </w:pPr>
      <w:rPr>
        <w:rFonts w:hint="default"/>
      </w:rPr>
    </w:lvl>
    <w:lvl w:ilvl="3">
      <w:start w:val="1"/>
      <w:numFmt w:val="decimal"/>
      <w:lvlText w:val="%1.%2.%3.%4."/>
      <w:lvlJc w:val="left"/>
      <w:pPr>
        <w:tabs>
          <w:tab w:val="num" w:pos="2016"/>
        </w:tabs>
        <w:ind w:left="3168" w:hanging="1152"/>
      </w:pPr>
      <w:rPr>
        <w:rFonts w:hint="default"/>
      </w:rPr>
    </w:lvl>
    <w:lvl w:ilvl="4">
      <w:start w:val="1"/>
      <w:numFmt w:val="decimal"/>
      <w:lvlText w:val="%1.%2.%3.%4.%5."/>
      <w:lvlJc w:val="left"/>
      <w:pPr>
        <w:tabs>
          <w:tab w:val="num" w:pos="3168"/>
        </w:tabs>
        <w:ind w:left="4608" w:hanging="1440"/>
      </w:pPr>
      <w:rPr>
        <w:rFonts w:hint="default"/>
      </w:rPr>
    </w:lvl>
    <w:lvl w:ilvl="5">
      <w:start w:val="1"/>
      <w:numFmt w:val="decimal"/>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00532"/>
    <w:multiLevelType w:val="hybridMultilevel"/>
    <w:tmpl w:val="C26EA824"/>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15:restartNumberingAfterBreak="0">
    <w:nsid w:val="4CB9283C"/>
    <w:multiLevelType w:val="hybridMultilevel"/>
    <w:tmpl w:val="9202E67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50452D69"/>
    <w:multiLevelType w:val="hybridMultilevel"/>
    <w:tmpl w:val="72406C2C"/>
    <w:lvl w:ilvl="0" w:tplc="262A6B64">
      <w:start w:val="1"/>
      <w:numFmt w:val="decimal"/>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 w15:restartNumberingAfterBreak="0">
    <w:nsid w:val="609342AC"/>
    <w:multiLevelType w:val="multilevel"/>
    <w:tmpl w:val="F14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30858"/>
    <w:multiLevelType w:val="multilevel"/>
    <w:tmpl w:val="2102A626"/>
    <w:lvl w:ilvl="0">
      <w:start w:val="3"/>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 w15:restartNumberingAfterBreak="0">
    <w:nsid w:val="729B65D0"/>
    <w:multiLevelType w:val="multilevel"/>
    <w:tmpl w:val="43D6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E279F"/>
    <w:multiLevelType w:val="multilevel"/>
    <w:tmpl w:val="2C1C8044"/>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b w:val="0"/>
        <w:bCs/>
        <w:sz w:val="20"/>
        <w:szCs w:val="14"/>
      </w:rPr>
    </w:lvl>
    <w:lvl w:ilvl="2">
      <w:start w:val="1"/>
      <w:numFmt w:val="decimal"/>
      <w:pStyle w:val="SOPLevel3"/>
      <w:lvlText w:val="%1.%2.%3."/>
      <w:lvlJc w:val="left"/>
      <w:pPr>
        <w:ind w:left="2016" w:hanging="864"/>
      </w:pPr>
      <w:rPr>
        <w:rFonts w:hint="default"/>
        <w:b w:val="0"/>
        <w:bCs/>
        <w:sz w:val="20"/>
        <w:szCs w:val="20"/>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723548">
    <w:abstractNumId w:val="5"/>
  </w:num>
  <w:num w:numId="2" w16cid:durableId="1352342786">
    <w:abstractNumId w:val="0"/>
  </w:num>
  <w:num w:numId="3" w16cid:durableId="1064178196">
    <w:abstractNumId w:val="3"/>
  </w:num>
  <w:num w:numId="4" w16cid:durableId="870847958">
    <w:abstractNumId w:val="1"/>
  </w:num>
  <w:num w:numId="5" w16cid:durableId="920993287">
    <w:abstractNumId w:val="9"/>
  </w:num>
  <w:num w:numId="6" w16cid:durableId="784160052">
    <w:abstractNumId w:val="7"/>
  </w:num>
  <w:num w:numId="7" w16cid:durableId="1358044210">
    <w:abstractNumId w:val="8"/>
  </w:num>
  <w:num w:numId="8" w16cid:durableId="1798258915">
    <w:abstractNumId w:val="2"/>
  </w:num>
  <w:num w:numId="9" w16cid:durableId="1432093655">
    <w:abstractNumId w:val="10"/>
  </w:num>
  <w:num w:numId="10" w16cid:durableId="435907311">
    <w:abstractNumId w:val="4"/>
  </w:num>
  <w:num w:numId="11" w16cid:durableId="536889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3E"/>
    <w:rsid w:val="00006447"/>
    <w:rsid w:val="000D1476"/>
    <w:rsid w:val="001053A6"/>
    <w:rsid w:val="001107B0"/>
    <w:rsid w:val="00124CB4"/>
    <w:rsid w:val="00185251"/>
    <w:rsid w:val="00197D8B"/>
    <w:rsid w:val="0027103F"/>
    <w:rsid w:val="002732C8"/>
    <w:rsid w:val="00282FE2"/>
    <w:rsid w:val="00346643"/>
    <w:rsid w:val="00377D70"/>
    <w:rsid w:val="00397AB5"/>
    <w:rsid w:val="003C604D"/>
    <w:rsid w:val="003C6C95"/>
    <w:rsid w:val="004158DC"/>
    <w:rsid w:val="00483018"/>
    <w:rsid w:val="004E2A42"/>
    <w:rsid w:val="004E54DB"/>
    <w:rsid w:val="00524A6C"/>
    <w:rsid w:val="00524E4B"/>
    <w:rsid w:val="005E2E27"/>
    <w:rsid w:val="00657B3E"/>
    <w:rsid w:val="00671CD7"/>
    <w:rsid w:val="00736F6D"/>
    <w:rsid w:val="00744165"/>
    <w:rsid w:val="007D6683"/>
    <w:rsid w:val="007E1FE4"/>
    <w:rsid w:val="0080455A"/>
    <w:rsid w:val="008412B6"/>
    <w:rsid w:val="00852979"/>
    <w:rsid w:val="008A650C"/>
    <w:rsid w:val="008C0C50"/>
    <w:rsid w:val="008D610B"/>
    <w:rsid w:val="009148B7"/>
    <w:rsid w:val="0098174E"/>
    <w:rsid w:val="009A5E0F"/>
    <w:rsid w:val="009A7016"/>
    <w:rsid w:val="009F736A"/>
    <w:rsid w:val="00AA7491"/>
    <w:rsid w:val="00AB1654"/>
    <w:rsid w:val="00AD16D0"/>
    <w:rsid w:val="00AE7C8F"/>
    <w:rsid w:val="00B143BC"/>
    <w:rsid w:val="00B22808"/>
    <w:rsid w:val="00B675A8"/>
    <w:rsid w:val="00BC6A7E"/>
    <w:rsid w:val="00BF724F"/>
    <w:rsid w:val="00C071D4"/>
    <w:rsid w:val="00C45E42"/>
    <w:rsid w:val="00C77DDA"/>
    <w:rsid w:val="00D31971"/>
    <w:rsid w:val="00D357B6"/>
    <w:rsid w:val="00D474C3"/>
    <w:rsid w:val="00D5049D"/>
    <w:rsid w:val="00D55473"/>
    <w:rsid w:val="00DC2284"/>
    <w:rsid w:val="00DC6A92"/>
    <w:rsid w:val="00DF49EF"/>
    <w:rsid w:val="00DF6E7D"/>
    <w:rsid w:val="00E34674"/>
    <w:rsid w:val="00EB2E4D"/>
    <w:rsid w:val="00F2331F"/>
    <w:rsid w:val="00F25C27"/>
    <w:rsid w:val="00FD24FD"/>
    <w:rsid w:val="00FD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7BD3"/>
  <w15:chartTrackingRefBased/>
  <w15:docId w15:val="{A7BC2E59-2540-4142-8CC4-7486EEAB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3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57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3E"/>
    <w:rPr>
      <w:rFonts w:eastAsiaTheme="majorEastAsia" w:cstheme="majorBidi"/>
      <w:color w:val="272727" w:themeColor="text1" w:themeTint="D8"/>
    </w:rPr>
  </w:style>
  <w:style w:type="paragraph" w:styleId="Title">
    <w:name w:val="Title"/>
    <w:basedOn w:val="Normal"/>
    <w:next w:val="Normal"/>
    <w:link w:val="TitleChar"/>
    <w:uiPriority w:val="10"/>
    <w:qFormat/>
    <w:rsid w:val="0065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3E"/>
    <w:pPr>
      <w:spacing w:before="160"/>
      <w:jc w:val="center"/>
    </w:pPr>
    <w:rPr>
      <w:i/>
      <w:iCs/>
      <w:color w:val="404040" w:themeColor="text1" w:themeTint="BF"/>
    </w:rPr>
  </w:style>
  <w:style w:type="character" w:customStyle="1" w:styleId="QuoteChar">
    <w:name w:val="Quote Char"/>
    <w:basedOn w:val="DefaultParagraphFont"/>
    <w:link w:val="Quote"/>
    <w:uiPriority w:val="29"/>
    <w:rsid w:val="00657B3E"/>
    <w:rPr>
      <w:i/>
      <w:iCs/>
      <w:color w:val="404040" w:themeColor="text1" w:themeTint="BF"/>
    </w:rPr>
  </w:style>
  <w:style w:type="paragraph" w:styleId="ListParagraph">
    <w:name w:val="List Paragraph"/>
    <w:basedOn w:val="Normal"/>
    <w:uiPriority w:val="34"/>
    <w:qFormat/>
    <w:rsid w:val="00657B3E"/>
    <w:pPr>
      <w:ind w:left="720"/>
      <w:contextualSpacing/>
    </w:pPr>
  </w:style>
  <w:style w:type="character" w:styleId="IntenseEmphasis">
    <w:name w:val="Intense Emphasis"/>
    <w:basedOn w:val="DefaultParagraphFont"/>
    <w:uiPriority w:val="21"/>
    <w:qFormat/>
    <w:rsid w:val="00657B3E"/>
    <w:rPr>
      <w:i/>
      <w:iCs/>
      <w:color w:val="0F4761" w:themeColor="accent1" w:themeShade="BF"/>
    </w:rPr>
  </w:style>
  <w:style w:type="paragraph" w:styleId="IntenseQuote">
    <w:name w:val="Intense Quote"/>
    <w:basedOn w:val="Normal"/>
    <w:next w:val="Normal"/>
    <w:link w:val="IntenseQuoteChar"/>
    <w:uiPriority w:val="30"/>
    <w:qFormat/>
    <w:rsid w:val="00657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3E"/>
    <w:rPr>
      <w:i/>
      <w:iCs/>
      <w:color w:val="0F4761" w:themeColor="accent1" w:themeShade="BF"/>
    </w:rPr>
  </w:style>
  <w:style w:type="character" w:styleId="IntenseReference">
    <w:name w:val="Intense Reference"/>
    <w:basedOn w:val="DefaultParagraphFont"/>
    <w:uiPriority w:val="32"/>
    <w:qFormat/>
    <w:rsid w:val="00657B3E"/>
    <w:rPr>
      <w:b/>
      <w:bCs/>
      <w:smallCaps/>
      <w:color w:val="0F4761" w:themeColor="accent1" w:themeShade="BF"/>
      <w:spacing w:val="5"/>
    </w:rPr>
  </w:style>
  <w:style w:type="paragraph" w:styleId="Header">
    <w:name w:val="header"/>
    <w:basedOn w:val="Normal"/>
    <w:link w:val="HeaderChar"/>
    <w:uiPriority w:val="99"/>
    <w:unhideWhenUsed/>
    <w:rsid w:val="00657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B3E"/>
    <w:rPr>
      <w:kern w:val="0"/>
      <w:sz w:val="22"/>
      <w:szCs w:val="22"/>
      <w14:ligatures w14:val="none"/>
    </w:rPr>
  </w:style>
  <w:style w:type="paragraph" w:customStyle="1" w:styleId="SOPTableHeader">
    <w:name w:val="SOP Table Header"/>
    <w:basedOn w:val="Normal"/>
    <w:qFormat/>
    <w:rsid w:val="00657B3E"/>
    <w:pPr>
      <w:tabs>
        <w:tab w:val="right" w:pos="2178"/>
      </w:tabs>
      <w:spacing w:after="0" w:line="240" w:lineRule="auto"/>
    </w:pPr>
    <w:rPr>
      <w:rFonts w:ascii="Arial" w:hAnsi="Arial" w:cs="Arial"/>
      <w:b/>
      <w:bCs/>
      <w:color w:val="000000"/>
      <w:sz w:val="16"/>
      <w:szCs w:val="16"/>
    </w:rPr>
  </w:style>
  <w:style w:type="paragraph" w:customStyle="1" w:styleId="SOPTableItemBold">
    <w:name w:val="SOP Table Item Bold"/>
    <w:basedOn w:val="Normal"/>
    <w:qFormat/>
    <w:rsid w:val="00657B3E"/>
    <w:pPr>
      <w:spacing w:after="0" w:line="240" w:lineRule="auto"/>
      <w:jc w:val="center"/>
    </w:pPr>
    <w:rPr>
      <w:rFonts w:ascii="Arial" w:hAnsi="Arial" w:cs="Arial"/>
      <w:b/>
      <w:noProof/>
      <w:color w:val="000000"/>
      <w:sz w:val="20"/>
      <w:szCs w:val="20"/>
    </w:rPr>
  </w:style>
  <w:style w:type="paragraph" w:customStyle="1" w:styleId="SOPLevel1">
    <w:name w:val="SOP Level 1"/>
    <w:basedOn w:val="Normal"/>
    <w:qFormat/>
    <w:rsid w:val="00657B3E"/>
    <w:pPr>
      <w:numPr>
        <w:numId w:val="9"/>
      </w:numPr>
      <w:spacing w:before="120" w:after="120" w:line="240" w:lineRule="auto"/>
    </w:pPr>
    <w:rPr>
      <w:rFonts w:ascii="Arial" w:hAnsi="Arial" w:cs="Arial"/>
      <w:b/>
      <w:sz w:val="28"/>
      <w:szCs w:val="20"/>
    </w:rPr>
  </w:style>
  <w:style w:type="paragraph" w:customStyle="1" w:styleId="SOPLevel2">
    <w:name w:val="SOP Level 2"/>
    <w:basedOn w:val="Normal"/>
    <w:qFormat/>
    <w:rsid w:val="00657B3E"/>
    <w:pPr>
      <w:numPr>
        <w:ilvl w:val="1"/>
        <w:numId w:val="9"/>
      </w:numPr>
      <w:spacing w:before="120" w:after="120" w:line="240" w:lineRule="auto"/>
      <w:contextualSpacing/>
    </w:pPr>
    <w:rPr>
      <w:rFonts w:ascii="Arial" w:hAnsi="Arial" w:cs="Arial"/>
      <w:sz w:val="20"/>
      <w:szCs w:val="20"/>
    </w:rPr>
  </w:style>
  <w:style w:type="paragraph" w:customStyle="1" w:styleId="SOPLevel3">
    <w:name w:val="SOP Level 3"/>
    <w:basedOn w:val="Normal"/>
    <w:qFormat/>
    <w:rsid w:val="00657B3E"/>
    <w:pPr>
      <w:numPr>
        <w:ilvl w:val="2"/>
        <w:numId w:val="9"/>
      </w:numPr>
      <w:spacing w:before="120" w:after="120" w:line="240" w:lineRule="auto"/>
      <w:contextualSpacing/>
    </w:pPr>
    <w:rPr>
      <w:rFonts w:ascii="Arial" w:hAnsi="Arial" w:cs="Arial"/>
      <w:sz w:val="20"/>
      <w:szCs w:val="20"/>
    </w:rPr>
  </w:style>
  <w:style w:type="paragraph" w:customStyle="1" w:styleId="SOPLevel4">
    <w:name w:val="SOP Level 4"/>
    <w:basedOn w:val="Normal"/>
    <w:qFormat/>
    <w:rsid w:val="00657B3E"/>
    <w:pPr>
      <w:numPr>
        <w:ilvl w:val="3"/>
        <w:numId w:val="9"/>
      </w:numPr>
      <w:spacing w:before="120" w:after="120" w:line="240" w:lineRule="auto"/>
      <w:contextualSpacing/>
    </w:pPr>
    <w:rPr>
      <w:rFonts w:ascii="Arial" w:hAnsi="Arial" w:cs="Arial"/>
      <w:sz w:val="20"/>
      <w:szCs w:val="20"/>
    </w:rPr>
  </w:style>
  <w:style w:type="paragraph" w:customStyle="1" w:styleId="SOPLevel5">
    <w:name w:val="SOP Level 5"/>
    <w:basedOn w:val="Normal"/>
    <w:qFormat/>
    <w:rsid w:val="00657B3E"/>
    <w:pPr>
      <w:numPr>
        <w:ilvl w:val="4"/>
        <w:numId w:val="9"/>
      </w:numPr>
      <w:spacing w:before="120" w:after="120" w:line="240" w:lineRule="auto"/>
      <w:contextualSpacing/>
    </w:pPr>
    <w:rPr>
      <w:rFonts w:ascii="Arial" w:hAnsi="Arial" w:cs="Arial"/>
      <w:sz w:val="20"/>
      <w:szCs w:val="20"/>
    </w:rPr>
  </w:style>
  <w:style w:type="paragraph" w:customStyle="1" w:styleId="SOPLevel6">
    <w:name w:val="SOP Level 6"/>
    <w:basedOn w:val="Normal"/>
    <w:qFormat/>
    <w:rsid w:val="00657B3E"/>
    <w:pPr>
      <w:numPr>
        <w:ilvl w:val="5"/>
        <w:numId w:val="9"/>
      </w:numPr>
      <w:spacing w:before="120" w:after="120" w:line="240" w:lineRule="auto"/>
      <w:contextualSpacing/>
    </w:pPr>
    <w:rPr>
      <w:rFonts w:ascii="Arial" w:hAnsi="Arial" w:cs="Arial"/>
      <w:sz w:val="20"/>
      <w:szCs w:val="20"/>
    </w:rPr>
  </w:style>
  <w:style w:type="paragraph" w:customStyle="1" w:styleId="SOPFooter">
    <w:name w:val="SOP Footer"/>
    <w:basedOn w:val="Normal"/>
    <w:autoRedefine/>
    <w:qFormat/>
    <w:rsid w:val="00657B3E"/>
    <w:pPr>
      <w:spacing w:before="120" w:after="0" w:line="240" w:lineRule="auto"/>
      <w:jc w:val="center"/>
    </w:pPr>
    <w:rPr>
      <w:rFonts w:ascii="Arial" w:hAnsi="Arial" w:cs="Arial"/>
      <w:sz w:val="16"/>
      <w:szCs w:val="16"/>
    </w:rPr>
  </w:style>
  <w:style w:type="character" w:styleId="Hyperlink">
    <w:name w:val="Hyperlink"/>
    <w:uiPriority w:val="99"/>
    <w:semiHidden/>
    <w:rsid w:val="00657B3E"/>
    <w:rPr>
      <w:color w:val="0000FF"/>
      <w:u w:val="single"/>
    </w:rPr>
  </w:style>
  <w:style w:type="table" w:customStyle="1" w:styleId="TableGrid1">
    <w:name w:val="Table Grid1"/>
    <w:basedOn w:val="TableNormal"/>
    <w:next w:val="TableGrid"/>
    <w:uiPriority w:val="59"/>
    <w:rsid w:val="00657B3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5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E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3031">
      <w:bodyDiv w:val="1"/>
      <w:marLeft w:val="0"/>
      <w:marRight w:val="0"/>
      <w:marTop w:val="0"/>
      <w:marBottom w:val="0"/>
      <w:divBdr>
        <w:top w:val="none" w:sz="0" w:space="0" w:color="auto"/>
        <w:left w:val="none" w:sz="0" w:space="0" w:color="auto"/>
        <w:bottom w:val="none" w:sz="0" w:space="0" w:color="auto"/>
        <w:right w:val="none" w:sz="0" w:space="0" w:color="auto"/>
      </w:divBdr>
    </w:div>
    <w:div w:id="1677534469">
      <w:bodyDiv w:val="1"/>
      <w:marLeft w:val="0"/>
      <w:marRight w:val="0"/>
      <w:marTop w:val="0"/>
      <w:marBottom w:val="0"/>
      <w:divBdr>
        <w:top w:val="none" w:sz="0" w:space="0" w:color="auto"/>
        <w:left w:val="none" w:sz="0" w:space="0" w:color="auto"/>
        <w:bottom w:val="none" w:sz="0" w:space="0" w:color="auto"/>
        <w:right w:val="none" w:sz="0" w:space="0" w:color="auto"/>
      </w:divBdr>
    </w:div>
    <w:div w:id="1823159620">
      <w:bodyDiv w:val="1"/>
      <w:marLeft w:val="0"/>
      <w:marRight w:val="0"/>
      <w:marTop w:val="0"/>
      <w:marBottom w:val="0"/>
      <w:divBdr>
        <w:top w:val="none" w:sz="0" w:space="0" w:color="auto"/>
        <w:left w:val="none" w:sz="0" w:space="0" w:color="auto"/>
        <w:bottom w:val="none" w:sz="0" w:space="0" w:color="auto"/>
        <w:right w:val="none" w:sz="0" w:space="0" w:color="auto"/>
      </w:divBdr>
      <w:divsChild>
        <w:div w:id="511065515">
          <w:marLeft w:val="0"/>
          <w:marRight w:val="0"/>
          <w:marTop w:val="0"/>
          <w:marBottom w:val="0"/>
          <w:divBdr>
            <w:top w:val="none" w:sz="0" w:space="0" w:color="auto"/>
            <w:left w:val="none" w:sz="0" w:space="0" w:color="auto"/>
            <w:bottom w:val="none" w:sz="0" w:space="0" w:color="auto"/>
            <w:right w:val="none" w:sz="0" w:space="0" w:color="auto"/>
          </w:divBdr>
        </w:div>
        <w:div w:id="1729255768">
          <w:marLeft w:val="0"/>
          <w:marRight w:val="0"/>
          <w:marTop w:val="0"/>
          <w:marBottom w:val="0"/>
          <w:divBdr>
            <w:top w:val="none" w:sz="0" w:space="0" w:color="auto"/>
            <w:left w:val="none" w:sz="0" w:space="0" w:color="auto"/>
            <w:bottom w:val="none" w:sz="0" w:space="0" w:color="auto"/>
            <w:right w:val="none" w:sz="0" w:space="0" w:color="auto"/>
          </w:divBdr>
        </w:div>
        <w:div w:id="827211351">
          <w:marLeft w:val="0"/>
          <w:marRight w:val="0"/>
          <w:marTop w:val="0"/>
          <w:marBottom w:val="0"/>
          <w:divBdr>
            <w:top w:val="none" w:sz="0" w:space="0" w:color="auto"/>
            <w:left w:val="none" w:sz="0" w:space="0" w:color="auto"/>
            <w:bottom w:val="none" w:sz="0" w:space="0" w:color="auto"/>
            <w:right w:val="none" w:sz="0" w:space="0" w:color="auto"/>
          </w:divBdr>
        </w:div>
        <w:div w:id="79672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BF7CE544302448CACD51CF48163F7" ma:contentTypeVersion="14" ma:contentTypeDescription="Create a new document." ma:contentTypeScope="" ma:versionID="77c9d5665f2dc0ab1f303d223468060f">
  <xsd:schema xmlns:xsd="http://www.w3.org/2001/XMLSchema" xmlns:xs="http://www.w3.org/2001/XMLSchema" xmlns:p="http://schemas.microsoft.com/office/2006/metadata/properties" xmlns:ns2="6b0922c4-68a5-4f67-9a87-0f6a00a7da14" xmlns:ns3="930d62b8-1377-4b51-82cf-d1c1a64336d3" targetNamespace="http://schemas.microsoft.com/office/2006/metadata/properties" ma:root="true" ma:fieldsID="45713031c1a58c58e8e42b5b0c0181b4" ns2:_="" ns3:_="">
    <xsd:import namespace="6b0922c4-68a5-4f67-9a87-0f6a00a7da14"/>
    <xsd:import namespace="930d62b8-1377-4b51-82cf-d1c1a6433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22c4-68a5-4f67-9a87-0f6a00a7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d62b8-1377-4b51-82cf-d1c1a64336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d5b3fc-cae8-4a83-9df4-0fb1adbecca0}" ma:internalName="TaxCatchAll" ma:showField="CatchAllData" ma:web="930d62b8-1377-4b51-82cf-d1c1a64336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0922c4-68a5-4f67-9a87-0f6a00a7da14">
      <Terms xmlns="http://schemas.microsoft.com/office/infopath/2007/PartnerControls"/>
    </lcf76f155ced4ddcb4097134ff3c332f>
    <TaxCatchAll xmlns="930d62b8-1377-4b51-82cf-d1c1a6433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610A2-4E1B-4780-83FB-C1DCF7CE3D01}"/>
</file>

<file path=customXml/itemProps2.xml><?xml version="1.0" encoding="utf-8"?>
<ds:datastoreItem xmlns:ds="http://schemas.openxmlformats.org/officeDocument/2006/customXml" ds:itemID="{9296218F-3D72-401B-91BD-5039B75CC8C9}">
  <ds:schemaRefs>
    <ds:schemaRef ds:uri="http://schemas.microsoft.com/office/2006/metadata/properties"/>
    <ds:schemaRef ds:uri="http://schemas.microsoft.com/office/infopath/2007/PartnerControls"/>
    <ds:schemaRef ds:uri="6b0922c4-68a5-4f67-9a87-0f6a00a7da14"/>
    <ds:schemaRef ds:uri="930d62b8-1377-4b51-82cf-d1c1a64336d3"/>
  </ds:schemaRefs>
</ds:datastoreItem>
</file>

<file path=customXml/itemProps3.xml><?xml version="1.0" encoding="utf-8"?>
<ds:datastoreItem xmlns:ds="http://schemas.openxmlformats.org/officeDocument/2006/customXml" ds:itemID="{148BAE54-5605-4BEE-B0AF-8A98D6B8F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4221</Characters>
  <Application>Microsoft Office Word</Application>
  <DocSecurity>0</DocSecurity>
  <Lines>108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Sousa, Emily</cp:lastModifiedBy>
  <cp:revision>2</cp:revision>
  <dcterms:created xsi:type="dcterms:W3CDTF">2025-12-03T19:23:00Z</dcterms:created>
  <dcterms:modified xsi:type="dcterms:W3CDTF">2025-12-03T19:23:00Z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0x010100F59BF7CE544302448CACD51CF48163F7</vt:lpwstr>
  </property>
  <property fmtid="{D5CDD505-2E9C-101B-9397-08002B2CF9AE}" pid="3" name="MediaServiceImageTags">
    <vt:lpwstr/>
  </property>
</Properties>
</file>